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v:background id="_x0000_s1025" o:bwmode="white" fillcolor="white [3212]">
      <v:fill r:id="rId8" o:title="5 %" type="pattern"/>
    </v:background>
  </w:background>
  <w:body>
    <w:p w14:paraId="4A7E62C1" w14:textId="53B0C66D" w:rsidR="00BF4C67" w:rsidRDefault="006D17AE" w:rsidP="00BF4C67">
      <w:pPr>
        <w:rPr>
          <w:lang w:val="en-US"/>
        </w:rPr>
      </w:pPr>
      <w:r>
        <w:rPr>
          <w:rFonts w:ascii="Book Antiqua" w:hAnsi="Book Antiqua"/>
          <w:noProof/>
        </w:rPr>
        <w:drawing>
          <wp:anchor distT="0" distB="0" distL="114300" distR="114300" simplePos="0" relativeHeight="251661312" behindDoc="0" locked="0" layoutInCell="1" allowOverlap="1" wp14:anchorId="08C02F83" wp14:editId="7545A6F3">
            <wp:simplePos x="0" y="0"/>
            <wp:positionH relativeFrom="margin">
              <wp:align>center</wp:align>
            </wp:positionH>
            <wp:positionV relativeFrom="paragraph">
              <wp:posOffset>8890</wp:posOffset>
            </wp:positionV>
            <wp:extent cx="1657350" cy="1333500"/>
            <wp:effectExtent l="0" t="0" r="0" b="0"/>
            <wp:wrapSquare wrapText="bothSides"/>
            <wp:docPr id="7" name="Image 1" descr="logo_ieom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eom_jpeg"/>
                    <pic:cNvPicPr>
                      <a:picLocks noChangeAspect="1" noChangeArrowheads="1"/>
                    </pic:cNvPicPr>
                  </pic:nvPicPr>
                  <pic:blipFill>
                    <a:blip r:embed="rId13" cstate="print"/>
                    <a:srcRect/>
                    <a:stretch>
                      <a:fillRect/>
                    </a:stretch>
                  </pic:blipFill>
                  <pic:spPr bwMode="auto">
                    <a:xfrm>
                      <a:off x="0" y="0"/>
                      <a:ext cx="1657350" cy="1333500"/>
                    </a:xfrm>
                    <a:prstGeom prst="rect">
                      <a:avLst/>
                    </a:prstGeom>
                    <a:noFill/>
                    <a:ln w="9525">
                      <a:noFill/>
                      <a:miter lim="800000"/>
                      <a:headEnd/>
                      <a:tailEnd/>
                    </a:ln>
                  </pic:spPr>
                </pic:pic>
              </a:graphicData>
            </a:graphic>
          </wp:anchor>
        </w:drawing>
      </w:r>
    </w:p>
    <w:p w14:paraId="53376EBC" w14:textId="0EBF15B7" w:rsidR="00BF4C67" w:rsidRDefault="00BF4C67" w:rsidP="00BF4C67">
      <w:pPr>
        <w:rPr>
          <w:lang w:val="en-US"/>
        </w:rPr>
      </w:pPr>
    </w:p>
    <w:p w14:paraId="41F96EE8" w14:textId="23C5BC28" w:rsidR="00BF4C67" w:rsidRDefault="00BF4C67" w:rsidP="00BF4C67">
      <w:pPr>
        <w:rPr>
          <w:lang w:val="en-US"/>
        </w:rPr>
      </w:pPr>
    </w:p>
    <w:p w14:paraId="0195DB91" w14:textId="0AABEB4A" w:rsidR="00BF4C67" w:rsidRDefault="00BF4C67">
      <w:pPr>
        <w:spacing w:before="0" w:beforeAutospacing="0" w:after="200" w:afterAutospacing="0" w:line="276" w:lineRule="auto"/>
        <w:rPr>
          <w:snapToGrid w:val="0"/>
        </w:rPr>
      </w:pPr>
    </w:p>
    <w:p w14:paraId="4A483CFC" w14:textId="006E35BA" w:rsidR="00BF4C67" w:rsidRDefault="00BF4C67">
      <w:pPr>
        <w:spacing w:before="0" w:beforeAutospacing="0" w:after="200" w:afterAutospacing="0" w:line="276" w:lineRule="auto"/>
        <w:rPr>
          <w:snapToGrid w:val="0"/>
        </w:rPr>
      </w:pPr>
      <w:r>
        <w:rPr>
          <w:noProof/>
        </w:rPr>
        <mc:AlternateContent>
          <mc:Choice Requires="wps">
            <w:drawing>
              <wp:anchor distT="0" distB="0" distL="114300" distR="114300" simplePos="0" relativeHeight="251659264" behindDoc="0" locked="0" layoutInCell="1" allowOverlap="1" wp14:anchorId="07AE7AC6" wp14:editId="6C252038">
                <wp:simplePos x="0" y="0"/>
                <wp:positionH relativeFrom="margin">
                  <wp:align>center</wp:align>
                </wp:positionH>
                <wp:positionV relativeFrom="margin">
                  <wp:align>center</wp:align>
                </wp:positionV>
                <wp:extent cx="9410700" cy="2590800"/>
                <wp:effectExtent l="0" t="0" r="19050" b="19050"/>
                <wp:wrapSquare wrapText="bothSides"/>
                <wp:docPr id="1" name="Zone de texte 1"/>
                <wp:cNvGraphicFramePr/>
                <a:graphic xmlns:a="http://schemas.openxmlformats.org/drawingml/2006/main">
                  <a:graphicData uri="http://schemas.microsoft.com/office/word/2010/wordprocessingShape">
                    <wps:wsp>
                      <wps:cNvSpPr txBox="1"/>
                      <wps:spPr>
                        <a:xfrm>
                          <a:off x="0" y="0"/>
                          <a:ext cx="9410700" cy="2590800"/>
                        </a:xfrm>
                        <a:prstGeom prst="rect">
                          <a:avLst/>
                        </a:prstGeom>
                        <a:noFill/>
                        <a:ln w="6350">
                          <a:solidFill>
                            <a:schemeClr val="tx1"/>
                          </a:solidFill>
                        </a:ln>
                      </wps:spPr>
                      <wps:txbx>
                        <w:txbxContent>
                          <w:p w14:paraId="1C265528" w14:textId="77777777" w:rsidR="001D6508" w:rsidRDefault="001D6508" w:rsidP="00BF4C67">
                            <w:pPr>
                              <w:pStyle w:val="soustitredoc"/>
                              <w:shd w:val="clear" w:color="auto" w:fill="auto"/>
                              <w:jc w:val="center"/>
                              <w:rPr>
                                <w:color w:val="auto"/>
                                <w:lang w:val="en-US"/>
                              </w:rPr>
                            </w:pPr>
                            <w:r w:rsidRPr="00733905">
                              <w:rPr>
                                <w:color w:val="auto"/>
                                <w:lang w:val="en-US"/>
                              </w:rPr>
                              <w:t>TSPD</w:t>
                            </w:r>
                            <w:r>
                              <w:rPr>
                                <w:color w:val="auto"/>
                                <w:lang w:val="en-US"/>
                              </w:rPr>
                              <w:t xml:space="preserve">, </w:t>
                            </w:r>
                            <w:r w:rsidRPr="00733905">
                              <w:rPr>
                                <w:color w:val="auto"/>
                                <w:lang w:val="en-US"/>
                              </w:rPr>
                              <w:t>IPS</w:t>
                            </w:r>
                            <w:r>
                              <w:rPr>
                                <w:color w:val="auto"/>
                                <w:lang w:val="en-US"/>
                              </w:rPr>
                              <w:t xml:space="preserve"> et </w:t>
                            </w:r>
                            <w:r w:rsidRPr="00733905">
                              <w:rPr>
                                <w:color w:val="auto"/>
                                <w:lang w:val="en-US"/>
                              </w:rPr>
                              <w:t>CESU</w:t>
                            </w:r>
                          </w:p>
                          <w:p w14:paraId="059D9928" w14:textId="77777777" w:rsidR="001D6508" w:rsidRDefault="001D6508" w:rsidP="00BF4C67">
                            <w:pPr>
                              <w:pStyle w:val="soustitredoc"/>
                              <w:shd w:val="clear" w:color="auto" w:fill="auto"/>
                              <w:jc w:val="center"/>
                              <w:rPr>
                                <w:color w:val="auto"/>
                                <w:lang w:val="en-US"/>
                              </w:rPr>
                            </w:pPr>
                            <w:proofErr w:type="spellStart"/>
                            <w:r w:rsidRPr="00DB1E18">
                              <w:rPr>
                                <w:color w:val="auto"/>
                                <w:lang w:val="en-US"/>
                              </w:rPr>
                              <w:t>Collecte</w:t>
                            </w:r>
                            <w:proofErr w:type="spellEnd"/>
                            <w:r w:rsidRPr="00DB1E18">
                              <w:rPr>
                                <w:color w:val="auto"/>
                                <w:lang w:val="en-US"/>
                              </w:rPr>
                              <w:t xml:space="preserve"> </w:t>
                            </w:r>
                            <w:proofErr w:type="spellStart"/>
                            <w:r>
                              <w:rPr>
                                <w:color w:val="auto"/>
                                <w:lang w:val="en-US"/>
                              </w:rPr>
                              <w:t>Activité</w:t>
                            </w:r>
                            <w:proofErr w:type="spellEnd"/>
                            <w:r>
                              <w:rPr>
                                <w:color w:val="auto"/>
                                <w:lang w:val="en-US"/>
                              </w:rPr>
                              <w:t xml:space="preserve"> / </w:t>
                            </w:r>
                            <w:proofErr w:type="spellStart"/>
                            <w:r>
                              <w:rPr>
                                <w:color w:val="auto"/>
                                <w:lang w:val="en-US"/>
                              </w:rPr>
                              <w:t>Fraude</w:t>
                            </w:r>
                            <w:proofErr w:type="spellEnd"/>
                            <w:r>
                              <w:rPr>
                                <w:color w:val="auto"/>
                                <w:lang w:val="en-US"/>
                              </w:rPr>
                              <w:t xml:space="preserve"> / Evolutions </w:t>
                            </w:r>
                            <w:proofErr w:type="spellStart"/>
                            <w:r>
                              <w:rPr>
                                <w:color w:val="auto"/>
                                <w:lang w:val="en-US"/>
                              </w:rPr>
                              <w:t>sécurité</w:t>
                            </w:r>
                            <w:proofErr w:type="spellEnd"/>
                            <w:r>
                              <w:rPr>
                                <w:color w:val="auto"/>
                                <w:lang w:val="en-US"/>
                              </w:rPr>
                              <w:t xml:space="preserve"> &amp;</w:t>
                            </w:r>
                          </w:p>
                          <w:p w14:paraId="0A093ACC" w14:textId="77777777" w:rsidR="001D6508" w:rsidRPr="00DB1E18" w:rsidRDefault="001D6508" w:rsidP="00BF4C67">
                            <w:pPr>
                              <w:pStyle w:val="soustitredoc"/>
                              <w:shd w:val="clear" w:color="auto" w:fill="auto"/>
                              <w:jc w:val="center"/>
                              <w:rPr>
                                <w:color w:val="auto"/>
                                <w:lang w:val="en-US"/>
                              </w:rPr>
                            </w:pPr>
                            <w:r>
                              <w:rPr>
                                <w:color w:val="auto"/>
                                <w:lang w:val="en-US"/>
                              </w:rPr>
                              <w:t xml:space="preserve"> Auto </w:t>
                            </w:r>
                            <w:proofErr w:type="spellStart"/>
                            <w:r>
                              <w:rPr>
                                <w:color w:val="auto"/>
                                <w:lang w:val="en-US"/>
                              </w:rPr>
                              <w:t>évaluation</w:t>
                            </w:r>
                            <w:proofErr w:type="spellEnd"/>
                            <w:r>
                              <w:rPr>
                                <w:color w:val="auto"/>
                                <w:lang w:val="en-US"/>
                              </w:rPr>
                              <w:t xml:space="preserve"> </w:t>
                            </w:r>
                            <w:proofErr w:type="spellStart"/>
                            <w:r>
                              <w:rPr>
                                <w:color w:val="auto"/>
                                <w:lang w:val="en-US"/>
                              </w:rPr>
                              <w:t>sécurité</w:t>
                            </w:r>
                            <w:proofErr w:type="spellEnd"/>
                          </w:p>
                          <w:p w14:paraId="5E325B44" w14:textId="5D548154" w:rsidR="001D6508" w:rsidRDefault="001D6508" w:rsidP="00BF4C67">
                            <w:pPr>
                              <w:pStyle w:val="soustitredoc"/>
                              <w:shd w:val="clear" w:color="auto" w:fill="auto"/>
                              <w:jc w:val="center"/>
                              <w:rPr>
                                <w:color w:val="auto"/>
                                <w:lang w:val="en-US"/>
                              </w:rPr>
                            </w:pPr>
                            <w:r>
                              <w:rPr>
                                <w:color w:val="auto"/>
                                <w:lang w:val="en-US"/>
                              </w:rPr>
                              <w:t>IEOM</w:t>
                            </w:r>
                          </w:p>
                          <w:p w14:paraId="4CE41D96" w14:textId="77777777" w:rsidR="001D6508" w:rsidRDefault="001D6508" w:rsidP="00BF4C67">
                            <w:pPr>
                              <w:pStyle w:val="soustitredoc"/>
                              <w:shd w:val="clear" w:color="auto" w:fill="auto"/>
                              <w:jc w:val="center"/>
                              <w:rPr>
                                <w:color w:val="auto"/>
                                <w:lang w:val="en-US"/>
                              </w:rPr>
                            </w:pPr>
                            <w:r>
                              <w:rPr>
                                <w:color w:val="auto"/>
                                <w:lang w:val="en-US"/>
                              </w:rPr>
                              <w:t xml:space="preserve">Notice de </w:t>
                            </w:r>
                            <w:proofErr w:type="spellStart"/>
                            <w:r>
                              <w:rPr>
                                <w:color w:val="auto"/>
                                <w:lang w:val="en-US"/>
                              </w:rPr>
                              <w:t>remplissage</w:t>
                            </w:r>
                            <w:proofErr w:type="spellEnd"/>
                          </w:p>
                          <w:p w14:paraId="33FE979B" w14:textId="77777777" w:rsidR="001D6508" w:rsidRDefault="001D6508" w:rsidP="00BF4C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AE7AC6" id="_x0000_t202" coordsize="21600,21600" o:spt="202" path="m,l,21600r21600,l21600,xe">
                <v:stroke joinstyle="miter"/>
                <v:path gradientshapeok="t" o:connecttype="rect"/>
              </v:shapetype>
              <v:shape id="Zone de texte 1" o:spid="_x0000_s1026" type="#_x0000_t202" style="position:absolute;margin-left:0;margin-top:0;width:741pt;height:204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" filled="f" strokecolor="black [3213]" strokeweight=".5pt">
                <v:textbox>
                  <w:txbxContent>
                    <w:p w14:paraId="1C265528" w14:textId="77777777" w:rsidR="001D6508" w:rsidRDefault="001D6508" w:rsidP="00BF4C67">
                      <w:pPr>
                        <w:pStyle w:val="soustitredoc"/>
                        <w:shd w:val="clear" w:color="auto" w:fill="auto"/>
                        <w:jc w:val="center"/>
                        <w:rPr>
                          <w:color w:val="auto"/>
                          <w:lang w:val="en-US"/>
                        </w:rPr>
                      </w:pPr>
                      <w:r w:rsidRPr="00733905">
                        <w:rPr>
                          <w:color w:val="auto"/>
                          <w:lang w:val="en-US"/>
                        </w:rPr>
                        <w:t>TSPD</w:t>
                      </w:r>
                      <w:r>
                        <w:rPr>
                          <w:color w:val="auto"/>
                          <w:lang w:val="en-US"/>
                        </w:rPr>
                        <w:t xml:space="preserve">, </w:t>
                      </w:r>
                      <w:r w:rsidRPr="00733905">
                        <w:rPr>
                          <w:color w:val="auto"/>
                          <w:lang w:val="en-US"/>
                        </w:rPr>
                        <w:t>IPS</w:t>
                      </w:r>
                      <w:r>
                        <w:rPr>
                          <w:color w:val="auto"/>
                          <w:lang w:val="en-US"/>
                        </w:rPr>
                        <w:t xml:space="preserve"> et </w:t>
                      </w:r>
                      <w:r w:rsidRPr="00733905">
                        <w:rPr>
                          <w:color w:val="auto"/>
                          <w:lang w:val="en-US"/>
                        </w:rPr>
                        <w:t>CESU</w:t>
                      </w:r>
                    </w:p>
                    <w:p w14:paraId="059D9928" w14:textId="77777777" w:rsidR="001D6508" w:rsidRDefault="001D6508" w:rsidP="00BF4C67">
                      <w:pPr>
                        <w:pStyle w:val="soustitredoc"/>
                        <w:shd w:val="clear" w:color="auto" w:fill="auto"/>
                        <w:jc w:val="center"/>
                        <w:rPr>
                          <w:color w:val="auto"/>
                          <w:lang w:val="en-US"/>
                        </w:rPr>
                      </w:pPr>
                      <w:proofErr w:type="spellStart"/>
                      <w:r w:rsidRPr="00DB1E18">
                        <w:rPr>
                          <w:color w:val="auto"/>
                          <w:lang w:val="en-US"/>
                        </w:rPr>
                        <w:t>Collecte</w:t>
                      </w:r>
                      <w:proofErr w:type="spellEnd"/>
                      <w:r w:rsidRPr="00DB1E18">
                        <w:rPr>
                          <w:color w:val="auto"/>
                          <w:lang w:val="en-US"/>
                        </w:rPr>
                        <w:t xml:space="preserve"> </w:t>
                      </w:r>
                      <w:proofErr w:type="spellStart"/>
                      <w:r>
                        <w:rPr>
                          <w:color w:val="auto"/>
                          <w:lang w:val="en-US"/>
                        </w:rPr>
                        <w:t>Activité</w:t>
                      </w:r>
                      <w:proofErr w:type="spellEnd"/>
                      <w:r>
                        <w:rPr>
                          <w:color w:val="auto"/>
                          <w:lang w:val="en-US"/>
                        </w:rPr>
                        <w:t xml:space="preserve"> / </w:t>
                      </w:r>
                      <w:proofErr w:type="spellStart"/>
                      <w:r>
                        <w:rPr>
                          <w:color w:val="auto"/>
                          <w:lang w:val="en-US"/>
                        </w:rPr>
                        <w:t>Fraude</w:t>
                      </w:r>
                      <w:proofErr w:type="spellEnd"/>
                      <w:r>
                        <w:rPr>
                          <w:color w:val="auto"/>
                          <w:lang w:val="en-US"/>
                        </w:rPr>
                        <w:t xml:space="preserve"> / Evolutions </w:t>
                      </w:r>
                      <w:proofErr w:type="spellStart"/>
                      <w:r>
                        <w:rPr>
                          <w:color w:val="auto"/>
                          <w:lang w:val="en-US"/>
                        </w:rPr>
                        <w:t>sécurité</w:t>
                      </w:r>
                      <w:proofErr w:type="spellEnd"/>
                      <w:r>
                        <w:rPr>
                          <w:color w:val="auto"/>
                          <w:lang w:val="en-US"/>
                        </w:rPr>
                        <w:t xml:space="preserve"> &amp;</w:t>
                      </w:r>
                    </w:p>
                    <w:p w14:paraId="0A093ACC" w14:textId="77777777" w:rsidR="001D6508" w:rsidRPr="00DB1E18" w:rsidRDefault="001D6508" w:rsidP="00BF4C67">
                      <w:pPr>
                        <w:pStyle w:val="soustitredoc"/>
                        <w:shd w:val="clear" w:color="auto" w:fill="auto"/>
                        <w:jc w:val="center"/>
                        <w:rPr>
                          <w:color w:val="auto"/>
                          <w:lang w:val="en-US"/>
                        </w:rPr>
                      </w:pPr>
                      <w:r>
                        <w:rPr>
                          <w:color w:val="auto"/>
                          <w:lang w:val="en-US"/>
                        </w:rPr>
                        <w:t xml:space="preserve"> Auto </w:t>
                      </w:r>
                      <w:proofErr w:type="spellStart"/>
                      <w:r>
                        <w:rPr>
                          <w:color w:val="auto"/>
                          <w:lang w:val="en-US"/>
                        </w:rPr>
                        <w:t>évaluation</w:t>
                      </w:r>
                      <w:proofErr w:type="spellEnd"/>
                      <w:r>
                        <w:rPr>
                          <w:color w:val="auto"/>
                          <w:lang w:val="en-US"/>
                        </w:rPr>
                        <w:t xml:space="preserve"> </w:t>
                      </w:r>
                      <w:proofErr w:type="spellStart"/>
                      <w:r>
                        <w:rPr>
                          <w:color w:val="auto"/>
                          <w:lang w:val="en-US"/>
                        </w:rPr>
                        <w:t>sécurité</w:t>
                      </w:r>
                      <w:proofErr w:type="spellEnd"/>
                    </w:p>
                    <w:p w14:paraId="5E325B44" w14:textId="5D548154" w:rsidR="001D6508" w:rsidRDefault="001D6508" w:rsidP="00BF4C67">
                      <w:pPr>
                        <w:pStyle w:val="soustitredoc"/>
                        <w:shd w:val="clear" w:color="auto" w:fill="auto"/>
                        <w:jc w:val="center"/>
                        <w:rPr>
                          <w:color w:val="auto"/>
                          <w:lang w:val="en-US"/>
                        </w:rPr>
                      </w:pPr>
                      <w:r>
                        <w:rPr>
                          <w:color w:val="auto"/>
                          <w:lang w:val="en-US"/>
                        </w:rPr>
                        <w:t>IEOM</w:t>
                      </w:r>
                    </w:p>
                    <w:p w14:paraId="4CE41D96" w14:textId="77777777" w:rsidR="001D6508" w:rsidRDefault="001D6508" w:rsidP="00BF4C67">
                      <w:pPr>
                        <w:pStyle w:val="soustitredoc"/>
                        <w:shd w:val="clear" w:color="auto" w:fill="auto"/>
                        <w:jc w:val="center"/>
                        <w:rPr>
                          <w:color w:val="auto"/>
                          <w:lang w:val="en-US"/>
                        </w:rPr>
                      </w:pPr>
                      <w:r>
                        <w:rPr>
                          <w:color w:val="auto"/>
                          <w:lang w:val="en-US"/>
                        </w:rPr>
                        <w:t xml:space="preserve">Notice de </w:t>
                      </w:r>
                      <w:proofErr w:type="spellStart"/>
                      <w:r>
                        <w:rPr>
                          <w:color w:val="auto"/>
                          <w:lang w:val="en-US"/>
                        </w:rPr>
                        <w:t>remplissage</w:t>
                      </w:r>
                      <w:proofErr w:type="spellEnd"/>
                    </w:p>
                    <w:p w14:paraId="33FE979B" w14:textId="77777777" w:rsidR="001D6508" w:rsidRDefault="001D6508" w:rsidP="00BF4C67"/>
                  </w:txbxContent>
                </v:textbox>
                <w10:wrap type="square" anchorx="margin" anchory="margin"/>
              </v:shape>
            </w:pict>
          </mc:Fallback>
        </mc:AlternateContent>
      </w:r>
    </w:p>
    <w:p w14:paraId="70BBF03F" w14:textId="5F831436" w:rsidR="00BF4C67" w:rsidRPr="00332F41" w:rsidRDefault="00BF4C67">
      <w:pPr>
        <w:spacing w:before="0" w:beforeAutospacing="0" w:after="200" w:afterAutospacing="0" w:line="276" w:lineRule="auto"/>
        <w:rPr>
          <w:i/>
          <w:snapToGrid w:val="0"/>
          <w:color w:val="0070C0"/>
        </w:rPr>
      </w:pPr>
    </w:p>
    <w:p w14:paraId="234AE253" w14:textId="2DBF8E7C" w:rsidR="00332F41" w:rsidRDefault="00332F41">
      <w:pPr>
        <w:spacing w:before="0" w:beforeAutospacing="0" w:after="200" w:afterAutospacing="0" w:line="276" w:lineRule="auto"/>
        <w:rPr>
          <w:snapToGrid w:val="0"/>
        </w:rPr>
      </w:pPr>
    </w:p>
    <w:p w14:paraId="28CA050A" w14:textId="1D8FE866" w:rsidR="00332F41" w:rsidRPr="00332F41" w:rsidRDefault="00332F41">
      <w:pPr>
        <w:spacing w:before="0" w:beforeAutospacing="0" w:after="200" w:afterAutospacing="0" w:line="276" w:lineRule="auto"/>
        <w:rPr>
          <w:i/>
          <w:snapToGrid w:val="0"/>
          <w:color w:val="0070C0"/>
        </w:rPr>
      </w:pPr>
      <w:r>
        <w:rPr>
          <w:i/>
          <w:snapToGrid w:val="0"/>
          <w:color w:val="0070C0"/>
        </w:rPr>
        <w:t>Les modifications apportées par rapport à la version 2024 apparaissent en bleu italique</w:t>
      </w:r>
    </w:p>
    <w:p w14:paraId="2E6A3B7C" w14:textId="4C924AC2" w:rsidR="00420C3B" w:rsidRDefault="00420C3B">
      <w:pPr>
        <w:spacing w:before="0" w:beforeAutospacing="0" w:after="200" w:afterAutospacing="0" w:line="276" w:lineRule="auto"/>
        <w:rPr>
          <w:snapToGrid w:val="0"/>
        </w:rPr>
      </w:pPr>
      <w:r>
        <w:rPr>
          <w:snapToGrid w:val="0"/>
        </w:rPr>
        <w:br w:type="page"/>
      </w:r>
    </w:p>
    <w:p w14:paraId="2A39B215" w14:textId="77777777" w:rsidR="0036364F" w:rsidRDefault="0036364F" w:rsidP="00CD68D9">
      <w:pPr>
        <w:pStyle w:val="Tabledesmatieres"/>
        <w:spacing w:after="0" w:afterAutospacing="0"/>
      </w:pPr>
    </w:p>
    <w:p w14:paraId="32BCAE16" w14:textId="0F7C2F92" w:rsidR="005E720F" w:rsidRDefault="00D928E4" w:rsidP="00CD68D9">
      <w:pPr>
        <w:pStyle w:val="Tabledesmatieres"/>
        <w:spacing w:after="0" w:afterAutospacing="0"/>
      </w:pPr>
      <w:r w:rsidRPr="00F47B49">
        <w:t>Table des matières</w:t>
      </w:r>
    </w:p>
    <w:sdt>
      <w:sdtPr>
        <w:rPr>
          <w:rFonts w:ascii="Arial" w:eastAsia="Times New Roman" w:hAnsi="Arial" w:cs="Times New Roman"/>
          <w:b w:val="0"/>
          <w:color w:val="auto"/>
          <w:sz w:val="18"/>
          <w:szCs w:val="20"/>
          <w:lang w:eastAsia="fr-FR"/>
        </w:rPr>
        <w:id w:val="893701665"/>
        <w:docPartObj>
          <w:docPartGallery w:val="Table of Contents"/>
          <w:docPartUnique/>
        </w:docPartObj>
      </w:sdtPr>
      <w:sdtEndPr>
        <w:rPr>
          <w:bCs/>
        </w:rPr>
      </w:sdtEndPr>
      <w:sdtContent>
        <w:p w14:paraId="497EF36C" w14:textId="77777777" w:rsidR="00DA7578" w:rsidRDefault="00DA7578" w:rsidP="00CD68D9">
          <w:pPr>
            <w:pStyle w:val="En-ttedetabledesmatires"/>
            <w:spacing w:before="0" w:beforeAutospacing="0" w:afterAutospacing="0"/>
          </w:pPr>
          <w:r>
            <w:t>Table des matières</w:t>
          </w:r>
        </w:p>
        <w:p w14:paraId="4285FDAB" w14:textId="61E4614A" w:rsidR="004A5C80" w:rsidRDefault="00DA7578">
          <w:pPr>
            <w:pStyle w:val="TM1"/>
            <w:tabs>
              <w:tab w:val="left" w:pos="360"/>
              <w:tab w:val="right" w:leader="dot" w:pos="14560"/>
            </w:tabs>
            <w:rPr>
              <w:rFonts w:asciiTheme="minorHAnsi" w:eastAsiaTheme="minorEastAsia" w:hAnsiTheme="minorHAnsi" w:cstheme="minorBidi"/>
              <w:b w:val="0"/>
              <w:bCs w:val="0"/>
              <w:caps w:val="0"/>
              <w:noProof/>
              <w:color w:val="auto"/>
              <w:sz w:val="22"/>
              <w:szCs w:val="22"/>
            </w:rPr>
          </w:pPr>
          <w:r>
            <w:fldChar w:fldCharType="begin"/>
          </w:r>
          <w:r>
            <w:instrText xml:space="preserve"> TOC \o "1-3" \h \z \u </w:instrText>
          </w:r>
          <w:r>
            <w:fldChar w:fldCharType="separate"/>
          </w:r>
          <w:hyperlink w:anchor="_Toc158133133" w:history="1">
            <w:r w:rsidR="004A5C80" w:rsidRPr="001B5A82">
              <w:rPr>
                <w:rStyle w:val="Lienhypertexte"/>
                <w:rFonts w:eastAsiaTheme="majorEastAsia"/>
                <w:noProof/>
              </w:rPr>
              <w:t>1</w:t>
            </w:r>
            <w:r w:rsidR="004A5C80">
              <w:rPr>
                <w:rFonts w:asciiTheme="minorHAnsi" w:eastAsiaTheme="minorEastAsia" w:hAnsiTheme="minorHAnsi" w:cstheme="minorBidi"/>
                <w:b w:val="0"/>
                <w:bCs w:val="0"/>
                <w:caps w:val="0"/>
                <w:noProof/>
                <w:color w:val="auto"/>
                <w:sz w:val="22"/>
                <w:szCs w:val="22"/>
              </w:rPr>
              <w:tab/>
            </w:r>
            <w:r w:rsidR="004A5C80" w:rsidRPr="001B5A82">
              <w:rPr>
                <w:rStyle w:val="Lienhypertexte"/>
                <w:rFonts w:eastAsiaTheme="majorEastAsia"/>
                <w:noProof/>
              </w:rPr>
              <w:t>Assujettissement à la collecte TSPD, IPS et CESU de l’IEOM : « Activité, Fraude et Evolutions sécurité » et « Auto évaluation des objectifs de sécurité »</w:t>
            </w:r>
            <w:r w:rsidR="004A5C80">
              <w:rPr>
                <w:noProof/>
                <w:webHidden/>
              </w:rPr>
              <w:tab/>
            </w:r>
            <w:r w:rsidR="004A5C80">
              <w:rPr>
                <w:noProof/>
                <w:webHidden/>
              </w:rPr>
              <w:fldChar w:fldCharType="begin"/>
            </w:r>
            <w:r w:rsidR="004A5C80">
              <w:rPr>
                <w:noProof/>
                <w:webHidden/>
              </w:rPr>
              <w:instrText xml:space="preserve"> PAGEREF _Toc158133133 \h </w:instrText>
            </w:r>
            <w:r w:rsidR="004A5C80">
              <w:rPr>
                <w:noProof/>
                <w:webHidden/>
              </w:rPr>
            </w:r>
            <w:r w:rsidR="004A5C80">
              <w:rPr>
                <w:noProof/>
                <w:webHidden/>
              </w:rPr>
              <w:fldChar w:fldCharType="separate"/>
            </w:r>
            <w:r w:rsidR="00E142C6">
              <w:rPr>
                <w:noProof/>
                <w:webHidden/>
              </w:rPr>
              <w:t>3</w:t>
            </w:r>
            <w:r w:rsidR="004A5C80">
              <w:rPr>
                <w:noProof/>
                <w:webHidden/>
              </w:rPr>
              <w:fldChar w:fldCharType="end"/>
            </w:r>
          </w:hyperlink>
        </w:p>
        <w:p w14:paraId="296165F5" w14:textId="23D0ED4C" w:rsidR="004A5C80" w:rsidRDefault="00876E1F">
          <w:pPr>
            <w:pStyle w:val="TM2"/>
            <w:tabs>
              <w:tab w:val="left" w:pos="660"/>
              <w:tab w:val="right" w:leader="dot" w:pos="14560"/>
            </w:tabs>
            <w:rPr>
              <w:rFonts w:asciiTheme="minorHAnsi" w:eastAsiaTheme="minorEastAsia" w:hAnsiTheme="minorHAnsi" w:cstheme="minorBidi"/>
              <w:smallCaps w:val="0"/>
              <w:noProof/>
              <w:color w:val="auto"/>
              <w:sz w:val="22"/>
              <w:szCs w:val="22"/>
            </w:rPr>
          </w:pPr>
          <w:hyperlink w:anchor="_Toc158133134" w:history="1">
            <w:r w:rsidR="004A5C80" w:rsidRPr="001B5A82">
              <w:rPr>
                <w:rStyle w:val="Lienhypertexte"/>
                <w:rFonts w:eastAsiaTheme="majorEastAsia"/>
                <w:noProof/>
              </w:rPr>
              <w:t>1.1</w:t>
            </w:r>
            <w:r w:rsidR="004A5C80">
              <w:rPr>
                <w:rFonts w:asciiTheme="minorHAnsi" w:eastAsiaTheme="minorEastAsia" w:hAnsiTheme="minorHAnsi" w:cstheme="minorBidi"/>
                <w:smallCaps w:val="0"/>
                <w:noProof/>
                <w:color w:val="auto"/>
                <w:sz w:val="22"/>
                <w:szCs w:val="22"/>
              </w:rPr>
              <w:tab/>
            </w:r>
            <w:r w:rsidR="004A5C80" w:rsidRPr="001B5A82">
              <w:rPr>
                <w:rStyle w:val="Lienhypertexte"/>
                <w:rFonts w:eastAsiaTheme="majorEastAsia"/>
                <w:noProof/>
              </w:rPr>
              <w:t>Définition des termes</w:t>
            </w:r>
            <w:r w:rsidR="004A5C80">
              <w:rPr>
                <w:noProof/>
                <w:webHidden/>
              </w:rPr>
              <w:tab/>
            </w:r>
            <w:r w:rsidR="004A5C80">
              <w:rPr>
                <w:noProof/>
                <w:webHidden/>
              </w:rPr>
              <w:fldChar w:fldCharType="begin"/>
            </w:r>
            <w:r w:rsidR="004A5C80">
              <w:rPr>
                <w:noProof/>
                <w:webHidden/>
              </w:rPr>
              <w:instrText xml:space="preserve"> PAGEREF _Toc158133134 \h </w:instrText>
            </w:r>
            <w:r w:rsidR="004A5C80">
              <w:rPr>
                <w:noProof/>
                <w:webHidden/>
              </w:rPr>
            </w:r>
            <w:r w:rsidR="004A5C80">
              <w:rPr>
                <w:noProof/>
                <w:webHidden/>
              </w:rPr>
              <w:fldChar w:fldCharType="separate"/>
            </w:r>
            <w:r w:rsidR="00E142C6">
              <w:rPr>
                <w:noProof/>
                <w:webHidden/>
              </w:rPr>
              <w:t>3</w:t>
            </w:r>
            <w:r w:rsidR="004A5C80">
              <w:rPr>
                <w:noProof/>
                <w:webHidden/>
              </w:rPr>
              <w:fldChar w:fldCharType="end"/>
            </w:r>
          </w:hyperlink>
        </w:p>
        <w:p w14:paraId="189143DE" w14:textId="38825F0D" w:rsidR="004A5C80" w:rsidRDefault="00876E1F">
          <w:pPr>
            <w:pStyle w:val="TM2"/>
            <w:tabs>
              <w:tab w:val="left" w:pos="660"/>
              <w:tab w:val="right" w:leader="dot" w:pos="14560"/>
            </w:tabs>
            <w:rPr>
              <w:rFonts w:asciiTheme="minorHAnsi" w:eastAsiaTheme="minorEastAsia" w:hAnsiTheme="minorHAnsi" w:cstheme="minorBidi"/>
              <w:smallCaps w:val="0"/>
              <w:noProof/>
              <w:color w:val="auto"/>
              <w:sz w:val="22"/>
              <w:szCs w:val="22"/>
            </w:rPr>
          </w:pPr>
          <w:hyperlink w:anchor="_Toc158133135" w:history="1">
            <w:r w:rsidR="004A5C80" w:rsidRPr="001B5A82">
              <w:rPr>
                <w:rStyle w:val="Lienhypertexte"/>
                <w:rFonts w:eastAsiaTheme="majorEastAsia"/>
                <w:noProof/>
              </w:rPr>
              <w:t>1.2</w:t>
            </w:r>
            <w:r w:rsidR="004A5C80">
              <w:rPr>
                <w:rFonts w:asciiTheme="minorHAnsi" w:eastAsiaTheme="minorEastAsia" w:hAnsiTheme="minorHAnsi" w:cstheme="minorBidi"/>
                <w:smallCaps w:val="0"/>
                <w:noProof/>
                <w:color w:val="auto"/>
                <w:sz w:val="22"/>
                <w:szCs w:val="22"/>
              </w:rPr>
              <w:tab/>
            </w:r>
            <w:r w:rsidR="004A5C80" w:rsidRPr="001B5A82">
              <w:rPr>
                <w:rStyle w:val="Lienhypertexte"/>
                <w:rFonts w:eastAsiaTheme="majorEastAsia"/>
                <w:noProof/>
              </w:rPr>
              <w:t>Contexte réglementaire</w:t>
            </w:r>
            <w:r w:rsidR="004A5C80">
              <w:rPr>
                <w:noProof/>
                <w:webHidden/>
              </w:rPr>
              <w:tab/>
            </w:r>
            <w:r w:rsidR="004A5C80">
              <w:rPr>
                <w:noProof/>
                <w:webHidden/>
              </w:rPr>
              <w:fldChar w:fldCharType="begin"/>
            </w:r>
            <w:r w:rsidR="004A5C80">
              <w:rPr>
                <w:noProof/>
                <w:webHidden/>
              </w:rPr>
              <w:instrText xml:space="preserve"> PAGEREF _Toc158133135 \h </w:instrText>
            </w:r>
            <w:r w:rsidR="004A5C80">
              <w:rPr>
                <w:noProof/>
                <w:webHidden/>
              </w:rPr>
            </w:r>
            <w:r w:rsidR="004A5C80">
              <w:rPr>
                <w:noProof/>
                <w:webHidden/>
              </w:rPr>
              <w:fldChar w:fldCharType="separate"/>
            </w:r>
            <w:r w:rsidR="00E142C6">
              <w:rPr>
                <w:noProof/>
                <w:webHidden/>
              </w:rPr>
              <w:t>3</w:t>
            </w:r>
            <w:r w:rsidR="004A5C80">
              <w:rPr>
                <w:noProof/>
                <w:webHidden/>
              </w:rPr>
              <w:fldChar w:fldCharType="end"/>
            </w:r>
          </w:hyperlink>
        </w:p>
        <w:p w14:paraId="17E569A7" w14:textId="206CC2F2" w:rsidR="004A5C80" w:rsidRDefault="00876E1F">
          <w:pPr>
            <w:pStyle w:val="TM2"/>
            <w:tabs>
              <w:tab w:val="left" w:pos="660"/>
              <w:tab w:val="right" w:leader="dot" w:pos="14560"/>
            </w:tabs>
            <w:rPr>
              <w:rFonts w:asciiTheme="minorHAnsi" w:eastAsiaTheme="minorEastAsia" w:hAnsiTheme="minorHAnsi" w:cstheme="minorBidi"/>
              <w:smallCaps w:val="0"/>
              <w:noProof/>
              <w:color w:val="auto"/>
              <w:sz w:val="22"/>
              <w:szCs w:val="22"/>
            </w:rPr>
          </w:pPr>
          <w:hyperlink w:anchor="_Toc158133136" w:history="1">
            <w:r w:rsidR="004A5C80" w:rsidRPr="001B5A82">
              <w:rPr>
                <w:rStyle w:val="Lienhypertexte"/>
                <w:rFonts w:eastAsiaTheme="majorEastAsia"/>
                <w:noProof/>
              </w:rPr>
              <w:t>1.3</w:t>
            </w:r>
            <w:r w:rsidR="004A5C80">
              <w:rPr>
                <w:rFonts w:asciiTheme="minorHAnsi" w:eastAsiaTheme="minorEastAsia" w:hAnsiTheme="minorHAnsi" w:cstheme="minorBidi"/>
                <w:smallCaps w:val="0"/>
                <w:noProof/>
                <w:color w:val="auto"/>
                <w:sz w:val="22"/>
                <w:szCs w:val="22"/>
              </w:rPr>
              <w:tab/>
            </w:r>
            <w:r w:rsidR="004A5C80" w:rsidRPr="001B5A82">
              <w:rPr>
                <w:rStyle w:val="Lienhypertexte"/>
                <w:rFonts w:eastAsiaTheme="majorEastAsia"/>
                <w:noProof/>
              </w:rPr>
              <w:t>Emetteurs de Titres spéciaux de paiement dématérialisés, Instruments de paiement spécifique et chèques emploi-service universels préfinancés assujettis à la collecte</w:t>
            </w:r>
            <w:r w:rsidR="004A5C80">
              <w:rPr>
                <w:noProof/>
                <w:webHidden/>
              </w:rPr>
              <w:tab/>
            </w:r>
            <w:r w:rsidR="004A5C80">
              <w:rPr>
                <w:noProof/>
                <w:webHidden/>
              </w:rPr>
              <w:fldChar w:fldCharType="begin"/>
            </w:r>
            <w:r w:rsidR="004A5C80">
              <w:rPr>
                <w:noProof/>
                <w:webHidden/>
              </w:rPr>
              <w:instrText xml:space="preserve"> PAGEREF _Toc158133136 \h </w:instrText>
            </w:r>
            <w:r w:rsidR="004A5C80">
              <w:rPr>
                <w:noProof/>
                <w:webHidden/>
              </w:rPr>
            </w:r>
            <w:r w:rsidR="004A5C80">
              <w:rPr>
                <w:noProof/>
                <w:webHidden/>
              </w:rPr>
              <w:fldChar w:fldCharType="separate"/>
            </w:r>
            <w:r w:rsidR="00E142C6">
              <w:rPr>
                <w:noProof/>
                <w:webHidden/>
              </w:rPr>
              <w:t>4</w:t>
            </w:r>
            <w:r w:rsidR="004A5C80">
              <w:rPr>
                <w:noProof/>
                <w:webHidden/>
              </w:rPr>
              <w:fldChar w:fldCharType="end"/>
            </w:r>
          </w:hyperlink>
        </w:p>
        <w:p w14:paraId="5712E284" w14:textId="40AF09AC" w:rsidR="004A5C80" w:rsidRDefault="00876E1F">
          <w:pPr>
            <w:pStyle w:val="TM2"/>
            <w:tabs>
              <w:tab w:val="left" w:pos="660"/>
              <w:tab w:val="right" w:leader="dot" w:pos="14560"/>
            </w:tabs>
            <w:rPr>
              <w:rFonts w:asciiTheme="minorHAnsi" w:eastAsiaTheme="minorEastAsia" w:hAnsiTheme="minorHAnsi" w:cstheme="minorBidi"/>
              <w:smallCaps w:val="0"/>
              <w:noProof/>
              <w:color w:val="auto"/>
              <w:sz w:val="22"/>
              <w:szCs w:val="22"/>
            </w:rPr>
          </w:pPr>
          <w:hyperlink w:anchor="_Toc158133137" w:history="1">
            <w:r w:rsidR="004A5C80" w:rsidRPr="001B5A82">
              <w:rPr>
                <w:rStyle w:val="Lienhypertexte"/>
                <w:rFonts w:eastAsiaTheme="majorEastAsia"/>
                <w:noProof/>
              </w:rPr>
              <w:t>1.4</w:t>
            </w:r>
            <w:r w:rsidR="004A5C80">
              <w:rPr>
                <w:rFonts w:asciiTheme="minorHAnsi" w:eastAsiaTheme="minorEastAsia" w:hAnsiTheme="minorHAnsi" w:cstheme="minorBidi"/>
                <w:smallCaps w:val="0"/>
                <w:noProof/>
                <w:color w:val="auto"/>
                <w:sz w:val="22"/>
                <w:szCs w:val="22"/>
              </w:rPr>
              <w:tab/>
            </w:r>
            <w:r w:rsidR="004A5C80" w:rsidRPr="001B5A82">
              <w:rPr>
                <w:rStyle w:val="Lienhypertexte"/>
                <w:rFonts w:eastAsiaTheme="majorEastAsia"/>
                <w:noProof/>
              </w:rPr>
              <w:t>Contacts, modalité technique de transmission de la déclaration et calendrier de la collecte TSPD, IPS et CESU de l’IEOM</w:t>
            </w:r>
            <w:r w:rsidR="004A5C80">
              <w:rPr>
                <w:noProof/>
                <w:webHidden/>
              </w:rPr>
              <w:tab/>
            </w:r>
            <w:r w:rsidR="004A5C80">
              <w:rPr>
                <w:noProof/>
                <w:webHidden/>
              </w:rPr>
              <w:fldChar w:fldCharType="begin"/>
            </w:r>
            <w:r w:rsidR="004A5C80">
              <w:rPr>
                <w:noProof/>
                <w:webHidden/>
              </w:rPr>
              <w:instrText xml:space="preserve"> PAGEREF _Toc158133137 \h </w:instrText>
            </w:r>
            <w:r w:rsidR="004A5C80">
              <w:rPr>
                <w:noProof/>
                <w:webHidden/>
              </w:rPr>
            </w:r>
            <w:r w:rsidR="004A5C80">
              <w:rPr>
                <w:noProof/>
                <w:webHidden/>
              </w:rPr>
              <w:fldChar w:fldCharType="separate"/>
            </w:r>
            <w:r w:rsidR="00E142C6">
              <w:rPr>
                <w:noProof/>
                <w:webHidden/>
              </w:rPr>
              <w:t>5</w:t>
            </w:r>
            <w:r w:rsidR="004A5C80">
              <w:rPr>
                <w:noProof/>
                <w:webHidden/>
              </w:rPr>
              <w:fldChar w:fldCharType="end"/>
            </w:r>
          </w:hyperlink>
        </w:p>
        <w:p w14:paraId="0A88BA4C" w14:textId="6B9E8DB9" w:rsidR="004A5C80" w:rsidRDefault="00876E1F">
          <w:pPr>
            <w:pStyle w:val="TM1"/>
            <w:tabs>
              <w:tab w:val="left" w:pos="360"/>
              <w:tab w:val="right" w:leader="dot" w:pos="14560"/>
            </w:tabs>
            <w:rPr>
              <w:rFonts w:asciiTheme="minorHAnsi" w:eastAsiaTheme="minorEastAsia" w:hAnsiTheme="minorHAnsi" w:cstheme="minorBidi"/>
              <w:b w:val="0"/>
              <w:bCs w:val="0"/>
              <w:caps w:val="0"/>
              <w:noProof/>
              <w:color w:val="auto"/>
              <w:sz w:val="22"/>
              <w:szCs w:val="22"/>
            </w:rPr>
          </w:pPr>
          <w:hyperlink w:anchor="_Toc158133138" w:history="1">
            <w:r w:rsidR="004A5C80" w:rsidRPr="001B5A82">
              <w:rPr>
                <w:rStyle w:val="Lienhypertexte"/>
                <w:rFonts w:eastAsiaTheme="majorEastAsia"/>
                <w:noProof/>
              </w:rPr>
              <w:t>2</w:t>
            </w:r>
            <w:r w:rsidR="004A5C80">
              <w:rPr>
                <w:rFonts w:asciiTheme="minorHAnsi" w:eastAsiaTheme="minorEastAsia" w:hAnsiTheme="minorHAnsi" w:cstheme="minorBidi"/>
                <w:b w:val="0"/>
                <w:bCs w:val="0"/>
                <w:caps w:val="0"/>
                <w:noProof/>
                <w:color w:val="auto"/>
                <w:sz w:val="22"/>
                <w:szCs w:val="22"/>
              </w:rPr>
              <w:tab/>
            </w:r>
            <w:r w:rsidR="004A5C80" w:rsidRPr="001B5A82">
              <w:rPr>
                <w:rStyle w:val="Lienhypertexte"/>
                <w:rFonts w:eastAsiaTheme="majorEastAsia"/>
                <w:noProof/>
              </w:rPr>
              <w:t>Description de la collecte TSPD, IPS et CESU de l’IEOM :</w:t>
            </w:r>
            <w:r w:rsidR="004A5C80">
              <w:rPr>
                <w:noProof/>
                <w:webHidden/>
              </w:rPr>
              <w:tab/>
            </w:r>
            <w:r w:rsidR="004A5C80">
              <w:rPr>
                <w:noProof/>
                <w:webHidden/>
              </w:rPr>
              <w:fldChar w:fldCharType="begin"/>
            </w:r>
            <w:r w:rsidR="004A5C80">
              <w:rPr>
                <w:noProof/>
                <w:webHidden/>
              </w:rPr>
              <w:instrText xml:space="preserve"> PAGEREF _Toc158133138 \h </w:instrText>
            </w:r>
            <w:r w:rsidR="004A5C80">
              <w:rPr>
                <w:noProof/>
                <w:webHidden/>
              </w:rPr>
            </w:r>
            <w:r w:rsidR="004A5C80">
              <w:rPr>
                <w:noProof/>
                <w:webHidden/>
              </w:rPr>
              <w:fldChar w:fldCharType="separate"/>
            </w:r>
            <w:r w:rsidR="00E142C6">
              <w:rPr>
                <w:noProof/>
                <w:webHidden/>
              </w:rPr>
              <w:t>6</w:t>
            </w:r>
            <w:r w:rsidR="004A5C80">
              <w:rPr>
                <w:noProof/>
                <w:webHidden/>
              </w:rPr>
              <w:fldChar w:fldCharType="end"/>
            </w:r>
          </w:hyperlink>
        </w:p>
        <w:p w14:paraId="3A5FAF01" w14:textId="411C641F" w:rsidR="004A5C80" w:rsidRDefault="00876E1F">
          <w:pPr>
            <w:pStyle w:val="TM2"/>
            <w:tabs>
              <w:tab w:val="left" w:pos="660"/>
              <w:tab w:val="right" w:leader="dot" w:pos="14560"/>
            </w:tabs>
            <w:rPr>
              <w:rFonts w:asciiTheme="minorHAnsi" w:eastAsiaTheme="minorEastAsia" w:hAnsiTheme="minorHAnsi" w:cstheme="minorBidi"/>
              <w:smallCaps w:val="0"/>
              <w:noProof/>
              <w:color w:val="auto"/>
              <w:sz w:val="22"/>
              <w:szCs w:val="22"/>
            </w:rPr>
          </w:pPr>
          <w:hyperlink w:anchor="_Toc158133139" w:history="1">
            <w:r w:rsidR="004A5C80" w:rsidRPr="001B5A82">
              <w:rPr>
                <w:rStyle w:val="Lienhypertexte"/>
                <w:rFonts w:eastAsiaTheme="majorEastAsia"/>
                <w:noProof/>
              </w:rPr>
              <w:t>2.1</w:t>
            </w:r>
            <w:r w:rsidR="004A5C80">
              <w:rPr>
                <w:rFonts w:asciiTheme="minorHAnsi" w:eastAsiaTheme="minorEastAsia" w:hAnsiTheme="minorHAnsi" w:cstheme="minorBidi"/>
                <w:smallCaps w:val="0"/>
                <w:noProof/>
                <w:color w:val="auto"/>
                <w:sz w:val="22"/>
                <w:szCs w:val="22"/>
              </w:rPr>
              <w:tab/>
            </w:r>
            <w:r w:rsidR="004A5C80" w:rsidRPr="001B5A82">
              <w:rPr>
                <w:rStyle w:val="Lienhypertexte"/>
                <w:rFonts w:eastAsiaTheme="majorEastAsia"/>
                <w:noProof/>
              </w:rPr>
              <w:t>Volet quantitatif de la collecte et Renseignement du fichier relatif à l’activité, la fraude subie et à l’évolution du dispositif de sécurité de l’entreprise : « NOM_ENTREPRISE_TSPD_IPS_CESU_IEOM_Stat_Activite_Fraude_Evol_securite_2023.xlsx »</w:t>
            </w:r>
            <w:r w:rsidR="004A5C80">
              <w:rPr>
                <w:noProof/>
                <w:webHidden/>
              </w:rPr>
              <w:tab/>
            </w:r>
            <w:r w:rsidR="004A5C80">
              <w:rPr>
                <w:noProof/>
                <w:webHidden/>
              </w:rPr>
              <w:fldChar w:fldCharType="begin"/>
            </w:r>
            <w:r w:rsidR="004A5C80">
              <w:rPr>
                <w:noProof/>
                <w:webHidden/>
              </w:rPr>
              <w:instrText xml:space="preserve"> PAGEREF _Toc158133139 \h </w:instrText>
            </w:r>
            <w:r w:rsidR="004A5C80">
              <w:rPr>
                <w:noProof/>
                <w:webHidden/>
              </w:rPr>
            </w:r>
            <w:r w:rsidR="004A5C80">
              <w:rPr>
                <w:noProof/>
                <w:webHidden/>
              </w:rPr>
              <w:fldChar w:fldCharType="separate"/>
            </w:r>
            <w:r w:rsidR="00E142C6">
              <w:rPr>
                <w:noProof/>
                <w:webHidden/>
              </w:rPr>
              <w:t>6</w:t>
            </w:r>
            <w:r w:rsidR="004A5C80">
              <w:rPr>
                <w:noProof/>
                <w:webHidden/>
              </w:rPr>
              <w:fldChar w:fldCharType="end"/>
            </w:r>
          </w:hyperlink>
        </w:p>
        <w:p w14:paraId="03C99874" w14:textId="39DD4432" w:rsidR="004A5C80" w:rsidRDefault="00876E1F">
          <w:pPr>
            <w:pStyle w:val="TM3"/>
            <w:tabs>
              <w:tab w:val="right" w:leader="dot" w:pos="14560"/>
            </w:tabs>
            <w:rPr>
              <w:rFonts w:asciiTheme="minorHAnsi" w:eastAsiaTheme="minorEastAsia" w:hAnsiTheme="minorHAnsi" w:cstheme="minorBidi"/>
              <w:noProof/>
              <w:sz w:val="22"/>
              <w:szCs w:val="22"/>
            </w:rPr>
          </w:pPr>
          <w:hyperlink w:anchor="_Toc158133140" w:history="1">
            <w:r w:rsidR="004A5C80" w:rsidRPr="001B5A82">
              <w:rPr>
                <w:rStyle w:val="Lienhypertexte"/>
                <w:rFonts w:eastAsiaTheme="majorEastAsia"/>
                <w:noProof/>
              </w:rPr>
              <w:t>2.1.1. Onglet « Activité »</w:t>
            </w:r>
            <w:r w:rsidR="004A5C80">
              <w:rPr>
                <w:noProof/>
                <w:webHidden/>
              </w:rPr>
              <w:tab/>
            </w:r>
            <w:r w:rsidR="004A5C80">
              <w:rPr>
                <w:noProof/>
                <w:webHidden/>
              </w:rPr>
              <w:fldChar w:fldCharType="begin"/>
            </w:r>
            <w:r w:rsidR="004A5C80">
              <w:rPr>
                <w:noProof/>
                <w:webHidden/>
              </w:rPr>
              <w:instrText xml:space="preserve"> PAGEREF _Toc158133140 \h </w:instrText>
            </w:r>
            <w:r w:rsidR="004A5C80">
              <w:rPr>
                <w:noProof/>
                <w:webHidden/>
              </w:rPr>
            </w:r>
            <w:r w:rsidR="004A5C80">
              <w:rPr>
                <w:noProof/>
                <w:webHidden/>
              </w:rPr>
              <w:fldChar w:fldCharType="separate"/>
            </w:r>
            <w:r w:rsidR="00E142C6">
              <w:rPr>
                <w:noProof/>
                <w:webHidden/>
              </w:rPr>
              <w:t>7</w:t>
            </w:r>
            <w:r w:rsidR="004A5C80">
              <w:rPr>
                <w:noProof/>
                <w:webHidden/>
              </w:rPr>
              <w:fldChar w:fldCharType="end"/>
            </w:r>
          </w:hyperlink>
        </w:p>
        <w:p w14:paraId="67EA3A82" w14:textId="7CA8D172" w:rsidR="004A5C80" w:rsidRDefault="00876E1F">
          <w:pPr>
            <w:pStyle w:val="TM3"/>
            <w:tabs>
              <w:tab w:val="left" w:pos="1100"/>
              <w:tab w:val="right" w:leader="dot" w:pos="14560"/>
            </w:tabs>
            <w:rPr>
              <w:rFonts w:asciiTheme="minorHAnsi" w:eastAsiaTheme="minorEastAsia" w:hAnsiTheme="minorHAnsi" w:cstheme="minorBidi"/>
              <w:noProof/>
              <w:sz w:val="22"/>
              <w:szCs w:val="22"/>
            </w:rPr>
          </w:pPr>
          <w:hyperlink w:anchor="_Toc158133141" w:history="1">
            <w:r w:rsidR="004A5C80" w:rsidRPr="001B5A82">
              <w:rPr>
                <w:rStyle w:val="Lienhypertexte"/>
                <w:rFonts w:eastAsiaTheme="majorEastAsia"/>
                <w:noProof/>
              </w:rPr>
              <w:t>2.1.2.</w:t>
            </w:r>
            <w:r w:rsidR="004A5C80">
              <w:rPr>
                <w:rFonts w:asciiTheme="minorHAnsi" w:eastAsiaTheme="minorEastAsia" w:hAnsiTheme="minorHAnsi" w:cstheme="minorBidi"/>
                <w:noProof/>
                <w:sz w:val="22"/>
                <w:szCs w:val="22"/>
              </w:rPr>
              <w:tab/>
            </w:r>
            <w:r w:rsidR="004A5C80" w:rsidRPr="001B5A82">
              <w:rPr>
                <w:rStyle w:val="Lienhypertexte"/>
                <w:rFonts w:eastAsiaTheme="majorEastAsia"/>
                <w:noProof/>
              </w:rPr>
              <w:t>Onglet « Fraude »</w:t>
            </w:r>
            <w:r w:rsidR="004A5C80">
              <w:rPr>
                <w:noProof/>
                <w:webHidden/>
              </w:rPr>
              <w:tab/>
            </w:r>
            <w:r w:rsidR="004A5C80">
              <w:rPr>
                <w:noProof/>
                <w:webHidden/>
              </w:rPr>
              <w:fldChar w:fldCharType="begin"/>
            </w:r>
            <w:r w:rsidR="004A5C80">
              <w:rPr>
                <w:noProof/>
                <w:webHidden/>
              </w:rPr>
              <w:instrText xml:space="preserve"> PAGEREF _Toc158133141 \h </w:instrText>
            </w:r>
            <w:r w:rsidR="004A5C80">
              <w:rPr>
                <w:noProof/>
                <w:webHidden/>
              </w:rPr>
            </w:r>
            <w:r w:rsidR="004A5C80">
              <w:rPr>
                <w:noProof/>
                <w:webHidden/>
              </w:rPr>
              <w:fldChar w:fldCharType="separate"/>
            </w:r>
            <w:r w:rsidR="00E142C6">
              <w:rPr>
                <w:noProof/>
                <w:webHidden/>
              </w:rPr>
              <w:t>8</w:t>
            </w:r>
            <w:r w:rsidR="004A5C80">
              <w:rPr>
                <w:noProof/>
                <w:webHidden/>
              </w:rPr>
              <w:fldChar w:fldCharType="end"/>
            </w:r>
          </w:hyperlink>
        </w:p>
        <w:p w14:paraId="1FD3790D" w14:textId="5D23437D" w:rsidR="004A5C80" w:rsidRDefault="00876E1F">
          <w:pPr>
            <w:pStyle w:val="TM3"/>
            <w:tabs>
              <w:tab w:val="left" w:pos="1100"/>
              <w:tab w:val="right" w:leader="dot" w:pos="14560"/>
            </w:tabs>
            <w:rPr>
              <w:rFonts w:asciiTheme="minorHAnsi" w:eastAsiaTheme="minorEastAsia" w:hAnsiTheme="minorHAnsi" w:cstheme="minorBidi"/>
              <w:noProof/>
              <w:sz w:val="22"/>
              <w:szCs w:val="22"/>
            </w:rPr>
          </w:pPr>
          <w:hyperlink w:anchor="_Toc158133142" w:history="1">
            <w:r w:rsidR="004A5C80" w:rsidRPr="001B5A82">
              <w:rPr>
                <w:rStyle w:val="Lienhypertexte"/>
                <w:rFonts w:eastAsiaTheme="majorEastAsia"/>
                <w:noProof/>
              </w:rPr>
              <w:t>2.1.3</w:t>
            </w:r>
            <w:r w:rsidR="004A5C80">
              <w:rPr>
                <w:rFonts w:asciiTheme="minorHAnsi" w:eastAsiaTheme="minorEastAsia" w:hAnsiTheme="minorHAnsi" w:cstheme="minorBidi"/>
                <w:noProof/>
                <w:sz w:val="22"/>
                <w:szCs w:val="22"/>
              </w:rPr>
              <w:tab/>
            </w:r>
            <w:r w:rsidR="004A5C80" w:rsidRPr="001B5A82">
              <w:rPr>
                <w:rStyle w:val="Lienhypertexte"/>
                <w:rFonts w:eastAsiaTheme="majorEastAsia"/>
                <w:noProof/>
              </w:rPr>
              <w:t>Onglet « Evolution sécurité »</w:t>
            </w:r>
            <w:r w:rsidR="004A5C80">
              <w:rPr>
                <w:noProof/>
                <w:webHidden/>
              </w:rPr>
              <w:tab/>
            </w:r>
            <w:r w:rsidR="004A5C80">
              <w:rPr>
                <w:noProof/>
                <w:webHidden/>
              </w:rPr>
              <w:fldChar w:fldCharType="begin"/>
            </w:r>
            <w:r w:rsidR="004A5C80">
              <w:rPr>
                <w:noProof/>
                <w:webHidden/>
              </w:rPr>
              <w:instrText xml:space="preserve"> PAGEREF _Toc158133142 \h </w:instrText>
            </w:r>
            <w:r w:rsidR="004A5C80">
              <w:rPr>
                <w:noProof/>
                <w:webHidden/>
              </w:rPr>
            </w:r>
            <w:r w:rsidR="004A5C80">
              <w:rPr>
                <w:noProof/>
                <w:webHidden/>
              </w:rPr>
              <w:fldChar w:fldCharType="separate"/>
            </w:r>
            <w:r w:rsidR="00E142C6">
              <w:rPr>
                <w:noProof/>
                <w:webHidden/>
              </w:rPr>
              <w:t>9</w:t>
            </w:r>
            <w:r w:rsidR="004A5C80">
              <w:rPr>
                <w:noProof/>
                <w:webHidden/>
              </w:rPr>
              <w:fldChar w:fldCharType="end"/>
            </w:r>
          </w:hyperlink>
        </w:p>
        <w:p w14:paraId="0ED7A9D0" w14:textId="503AF23A" w:rsidR="004A5C80" w:rsidRDefault="00876E1F">
          <w:pPr>
            <w:pStyle w:val="TM2"/>
            <w:tabs>
              <w:tab w:val="left" w:pos="880"/>
              <w:tab w:val="right" w:leader="dot" w:pos="14560"/>
            </w:tabs>
            <w:rPr>
              <w:rFonts w:asciiTheme="minorHAnsi" w:eastAsiaTheme="minorEastAsia" w:hAnsiTheme="minorHAnsi" w:cstheme="minorBidi"/>
              <w:smallCaps w:val="0"/>
              <w:noProof/>
              <w:color w:val="auto"/>
              <w:sz w:val="22"/>
              <w:szCs w:val="22"/>
            </w:rPr>
          </w:pPr>
          <w:hyperlink w:anchor="_Toc158133143" w:history="1">
            <w:r w:rsidR="004A5C80" w:rsidRPr="001B5A82">
              <w:rPr>
                <w:rStyle w:val="Lienhypertexte"/>
                <w:rFonts w:eastAsiaTheme="majorEastAsia"/>
                <w:noProof/>
              </w:rPr>
              <w:t>2.2.</w:t>
            </w:r>
            <w:r w:rsidR="004A5C80">
              <w:rPr>
                <w:rFonts w:asciiTheme="minorHAnsi" w:eastAsiaTheme="minorEastAsia" w:hAnsiTheme="minorHAnsi" w:cstheme="minorBidi"/>
                <w:smallCaps w:val="0"/>
                <w:noProof/>
                <w:color w:val="auto"/>
                <w:sz w:val="22"/>
                <w:szCs w:val="22"/>
              </w:rPr>
              <w:tab/>
            </w:r>
            <w:r w:rsidR="004A5C80" w:rsidRPr="001B5A82">
              <w:rPr>
                <w:rStyle w:val="Lienhypertexte"/>
                <w:rFonts w:eastAsiaTheme="majorEastAsia"/>
                <w:noProof/>
              </w:rPr>
              <w:t>Volet qualitatif de la collecte et Renseignement du fichier relatif à l’auto évaluation de la sécurité de l’émetteur : « NOM_ENTREPRISE_TSPD_IPS_CESU_IEOM_Auto_evaluation_securite_2023.docx »</w:t>
            </w:r>
            <w:r w:rsidR="004A5C80">
              <w:rPr>
                <w:noProof/>
                <w:webHidden/>
              </w:rPr>
              <w:tab/>
            </w:r>
            <w:r w:rsidR="004A5C80">
              <w:rPr>
                <w:noProof/>
                <w:webHidden/>
              </w:rPr>
              <w:fldChar w:fldCharType="begin"/>
            </w:r>
            <w:r w:rsidR="004A5C80">
              <w:rPr>
                <w:noProof/>
                <w:webHidden/>
              </w:rPr>
              <w:instrText xml:space="preserve"> PAGEREF _Toc158133143 \h </w:instrText>
            </w:r>
            <w:r w:rsidR="004A5C80">
              <w:rPr>
                <w:noProof/>
                <w:webHidden/>
              </w:rPr>
            </w:r>
            <w:r w:rsidR="004A5C80">
              <w:rPr>
                <w:noProof/>
                <w:webHidden/>
              </w:rPr>
              <w:fldChar w:fldCharType="separate"/>
            </w:r>
            <w:r w:rsidR="00E142C6">
              <w:rPr>
                <w:noProof/>
                <w:webHidden/>
              </w:rPr>
              <w:t>11</w:t>
            </w:r>
            <w:r w:rsidR="004A5C80">
              <w:rPr>
                <w:noProof/>
                <w:webHidden/>
              </w:rPr>
              <w:fldChar w:fldCharType="end"/>
            </w:r>
          </w:hyperlink>
        </w:p>
        <w:p w14:paraId="28F93D80" w14:textId="0B9A88FD" w:rsidR="00DA7578" w:rsidRDefault="00DA7578" w:rsidP="00CD68D9">
          <w:pPr>
            <w:spacing w:before="0" w:beforeAutospacing="0"/>
          </w:pPr>
          <w:r>
            <w:rPr>
              <w:b/>
              <w:bCs/>
            </w:rPr>
            <w:fldChar w:fldCharType="end"/>
          </w:r>
        </w:p>
      </w:sdtContent>
    </w:sdt>
    <w:p w14:paraId="7CB9256C" w14:textId="77777777" w:rsidR="006C3DA6" w:rsidRDefault="006C3DA6" w:rsidP="008C12EC">
      <w:r>
        <w:br w:type="page"/>
      </w:r>
    </w:p>
    <w:p w14:paraId="65DD9CD7" w14:textId="33DAA695" w:rsidR="008001F3" w:rsidRPr="008D713E" w:rsidRDefault="009A6E9C" w:rsidP="003566DA">
      <w:pPr>
        <w:pStyle w:val="Titre1"/>
      </w:pPr>
      <w:bookmarkStart w:id="0" w:name="_Toc523154186"/>
      <w:bookmarkStart w:id="1" w:name="_Toc523154216"/>
      <w:bookmarkStart w:id="2" w:name="_Toc523154187"/>
      <w:bookmarkStart w:id="3" w:name="_Toc523154217"/>
      <w:bookmarkStart w:id="4" w:name="_Ref9577487"/>
      <w:bookmarkStart w:id="5" w:name="_Ref9577508"/>
      <w:bookmarkStart w:id="6" w:name="_Toc158133133"/>
      <w:bookmarkEnd w:id="0"/>
      <w:bookmarkEnd w:id="1"/>
      <w:bookmarkEnd w:id="2"/>
      <w:bookmarkEnd w:id="3"/>
      <w:r>
        <w:lastRenderedPageBreak/>
        <w:t xml:space="preserve">Assujettissement à </w:t>
      </w:r>
      <w:r w:rsidR="0006619F" w:rsidRPr="008D713E">
        <w:t xml:space="preserve">la collecte </w:t>
      </w:r>
      <w:bookmarkEnd w:id="4"/>
      <w:bookmarkEnd w:id="5"/>
      <w:r w:rsidR="00483DFD">
        <w:t>TSPD</w:t>
      </w:r>
      <w:r w:rsidR="00391913">
        <w:t xml:space="preserve">, </w:t>
      </w:r>
      <w:r w:rsidR="00483DFD">
        <w:t>IPS</w:t>
      </w:r>
      <w:r w:rsidR="00391913">
        <w:t xml:space="preserve"> et </w:t>
      </w:r>
      <w:r w:rsidR="00E0658C">
        <w:t>CESU</w:t>
      </w:r>
      <w:r w:rsidR="00CB5E09">
        <w:t xml:space="preserve"> de l’I</w:t>
      </w:r>
      <w:r w:rsidR="00226B31">
        <w:t>EOM</w:t>
      </w:r>
      <w:r w:rsidR="00F633E9">
        <w:t> : « Activité, F</w:t>
      </w:r>
      <w:r w:rsidR="00CB5E09">
        <w:t xml:space="preserve">raude et </w:t>
      </w:r>
      <w:r w:rsidR="00F633E9">
        <w:t>Evolutions sécurité</w:t>
      </w:r>
      <w:r w:rsidR="00CB5E09">
        <w:t> » et « Auto évaluation des objectifs de sécurité »</w:t>
      </w:r>
      <w:bookmarkEnd w:id="6"/>
    </w:p>
    <w:p w14:paraId="53BAF179" w14:textId="09C87B85" w:rsidR="00783187" w:rsidRDefault="00783187" w:rsidP="00C26BA3">
      <w:pPr>
        <w:pStyle w:val="Titre2"/>
        <w:ind w:left="567"/>
      </w:pPr>
      <w:bookmarkStart w:id="7" w:name="_Toc158133134"/>
      <w:r>
        <w:t>Définition des termes</w:t>
      </w:r>
      <w:bookmarkEnd w:id="7"/>
      <w:r>
        <w:t xml:space="preserve"> </w:t>
      </w:r>
    </w:p>
    <w:p w14:paraId="6B3761A6" w14:textId="04282BB7" w:rsidR="00783187" w:rsidRPr="00405A0E" w:rsidRDefault="00783187" w:rsidP="00405A0E">
      <w:pPr>
        <w:rPr>
          <w:sz w:val="20"/>
          <w:lang w:eastAsia="en-US"/>
        </w:rPr>
      </w:pPr>
      <w:r w:rsidRPr="00405A0E">
        <w:rPr>
          <w:sz w:val="20"/>
          <w:lang w:eastAsia="en-US"/>
        </w:rPr>
        <w:t xml:space="preserve">Les termes ci-dessous utilisés dans le document ont la signification suivante : </w:t>
      </w:r>
    </w:p>
    <w:tbl>
      <w:tblPr>
        <w:tblStyle w:val="Grilledutableau"/>
        <w:tblW w:w="0" w:type="auto"/>
        <w:tblLook w:val="04A0" w:firstRow="1" w:lastRow="0" w:firstColumn="1" w:lastColumn="0" w:noHBand="0" w:noVBand="1"/>
      </w:tblPr>
      <w:tblGrid>
        <w:gridCol w:w="2122"/>
        <w:gridCol w:w="12332"/>
      </w:tblGrid>
      <w:tr w:rsidR="00783187" w14:paraId="1899D918" w14:textId="77777777" w:rsidTr="00D47CA7">
        <w:tc>
          <w:tcPr>
            <w:tcW w:w="2122" w:type="dxa"/>
          </w:tcPr>
          <w:p w14:paraId="58B5CCBA" w14:textId="1F59F51B" w:rsidR="00783187" w:rsidRDefault="00DF5F33" w:rsidP="00783187">
            <w:pPr>
              <w:rPr>
                <w:lang w:eastAsia="en-US"/>
              </w:rPr>
            </w:pPr>
            <w:r>
              <w:rPr>
                <w:lang w:eastAsia="en-US"/>
              </w:rPr>
              <w:t>Émetteur</w:t>
            </w:r>
          </w:p>
        </w:tc>
        <w:tc>
          <w:tcPr>
            <w:tcW w:w="12332" w:type="dxa"/>
          </w:tcPr>
          <w:p w14:paraId="517BE1FF" w14:textId="3546FDA7" w:rsidR="00783187" w:rsidRDefault="00783187" w:rsidP="00DF71E3">
            <w:pPr>
              <w:rPr>
                <w:lang w:eastAsia="en-US"/>
              </w:rPr>
            </w:pPr>
            <w:r>
              <w:rPr>
                <w:lang w:eastAsia="en-US"/>
              </w:rPr>
              <w:t>Acteur habilité à émettre des TSPD</w:t>
            </w:r>
            <w:r w:rsidR="00391913">
              <w:rPr>
                <w:lang w:eastAsia="en-US"/>
              </w:rPr>
              <w:t xml:space="preserve">, </w:t>
            </w:r>
            <w:r>
              <w:rPr>
                <w:lang w:eastAsia="en-US"/>
              </w:rPr>
              <w:t>IPS et/</w:t>
            </w:r>
            <w:r w:rsidR="00DF71E3">
              <w:rPr>
                <w:lang w:eastAsia="en-US"/>
              </w:rPr>
              <w:t>ou CESU</w:t>
            </w:r>
            <w:r w:rsidR="00307DF8" w:rsidRPr="00307DF8">
              <w:rPr>
                <w:i/>
                <w:color w:val="0070C0"/>
                <w:lang w:eastAsia="en-US"/>
              </w:rPr>
              <w:t xml:space="preserve"> dans les Collectivités d’Outre-Mer du Pacifique</w:t>
            </w:r>
            <w:r w:rsidR="00405A0E" w:rsidRPr="00307DF8">
              <w:rPr>
                <w:i/>
                <w:color w:val="0070C0"/>
                <w:lang w:eastAsia="en-US"/>
              </w:rPr>
              <w:t xml:space="preserve"> </w:t>
            </w:r>
            <w:r w:rsidR="00307DF8" w:rsidRPr="00307DF8">
              <w:rPr>
                <w:i/>
                <w:color w:val="0070C0"/>
                <w:lang w:eastAsia="en-US"/>
              </w:rPr>
              <w:t>(Nouvelle-Calédonie, Polynésie française, îles Wallis-et-Futuna),</w:t>
            </w:r>
            <w:r w:rsidR="00307DF8">
              <w:rPr>
                <w:lang w:eastAsia="en-US"/>
              </w:rPr>
              <w:t xml:space="preserve"> </w:t>
            </w:r>
            <w:r w:rsidR="00405A0E">
              <w:rPr>
                <w:lang w:eastAsia="en-US"/>
              </w:rPr>
              <w:t>soumis réglementairement à la remise d</w:t>
            </w:r>
            <w:r w:rsidR="00DF71E3">
              <w:rPr>
                <w:lang w:eastAsia="en-US"/>
              </w:rPr>
              <w:t>e</w:t>
            </w:r>
            <w:r w:rsidR="00405A0E">
              <w:rPr>
                <w:lang w:eastAsia="en-US"/>
              </w:rPr>
              <w:t xml:space="preserve"> rapport</w:t>
            </w:r>
            <w:r w:rsidR="00DF71E3">
              <w:rPr>
                <w:lang w:eastAsia="en-US"/>
              </w:rPr>
              <w:t>s</w:t>
            </w:r>
            <w:r w:rsidR="00405A0E">
              <w:rPr>
                <w:lang w:eastAsia="en-US"/>
              </w:rPr>
              <w:t>, sous forme de questionnaire</w:t>
            </w:r>
            <w:r w:rsidR="00F12983">
              <w:rPr>
                <w:lang w:eastAsia="en-US"/>
              </w:rPr>
              <w:t>s</w:t>
            </w:r>
            <w:r w:rsidR="00DF71E3">
              <w:rPr>
                <w:lang w:eastAsia="en-US"/>
              </w:rPr>
              <w:t xml:space="preserve"> </w:t>
            </w:r>
            <w:r w:rsidR="00DF71E3">
              <w:rPr>
                <w:i/>
                <w:color w:val="0070C0"/>
                <w:lang w:eastAsia="en-US"/>
              </w:rPr>
              <w:t>statistique et qualitatif</w:t>
            </w:r>
            <w:r w:rsidR="00405A0E">
              <w:rPr>
                <w:lang w:eastAsia="en-US"/>
              </w:rPr>
              <w:t xml:space="preserve">, à </w:t>
            </w:r>
            <w:r w:rsidR="007272DC">
              <w:rPr>
                <w:lang w:eastAsia="en-US"/>
              </w:rPr>
              <w:t>l’IEOM</w:t>
            </w:r>
            <w:r w:rsidR="00405A0E">
              <w:rPr>
                <w:lang w:eastAsia="en-US"/>
              </w:rPr>
              <w:t xml:space="preserve">. </w:t>
            </w:r>
            <w:r w:rsidR="002226E1">
              <w:rPr>
                <w:lang w:eastAsia="en-US"/>
              </w:rPr>
              <w:t>I</w:t>
            </w:r>
            <w:r w:rsidR="00405A0E">
              <w:rPr>
                <w:lang w:eastAsia="en-US"/>
              </w:rPr>
              <w:t xml:space="preserve">l est </w:t>
            </w:r>
            <w:r w:rsidR="00DF71E3">
              <w:rPr>
                <w:i/>
                <w:color w:val="0070C0"/>
                <w:lang w:eastAsia="en-US"/>
              </w:rPr>
              <w:t xml:space="preserve">appelé </w:t>
            </w:r>
            <w:r w:rsidR="00DF71E3">
              <w:rPr>
                <w:lang w:eastAsia="en-US"/>
              </w:rPr>
              <w:t xml:space="preserve">pour la présente collecte </w:t>
            </w:r>
            <w:r w:rsidR="00405A0E">
              <w:rPr>
                <w:lang w:eastAsia="en-US"/>
              </w:rPr>
              <w:t>déclarant et</w:t>
            </w:r>
            <w:r w:rsidR="002226E1">
              <w:rPr>
                <w:lang w:eastAsia="en-US"/>
              </w:rPr>
              <w:t>, selon les cas,</w:t>
            </w:r>
            <w:r w:rsidR="00405A0E">
              <w:rPr>
                <w:lang w:eastAsia="en-US"/>
              </w:rPr>
              <w:t xml:space="preserve"> le remettant</w:t>
            </w:r>
            <w:r w:rsidR="00DF71E3">
              <w:rPr>
                <w:lang w:eastAsia="en-US"/>
              </w:rPr>
              <w:t xml:space="preserve"> </w:t>
            </w:r>
            <w:r w:rsidR="00DF71E3">
              <w:rPr>
                <w:i/>
                <w:color w:val="0070C0"/>
                <w:lang w:eastAsia="en-US"/>
              </w:rPr>
              <w:t>s’il procède lui-même à ses déclarations</w:t>
            </w:r>
            <w:r w:rsidR="00405A0E">
              <w:rPr>
                <w:lang w:eastAsia="en-US"/>
              </w:rPr>
              <w:t>.</w:t>
            </w:r>
          </w:p>
        </w:tc>
      </w:tr>
      <w:tr w:rsidR="00783187" w14:paraId="0C781E6A" w14:textId="77777777" w:rsidTr="00D47CA7">
        <w:tc>
          <w:tcPr>
            <w:tcW w:w="2122" w:type="dxa"/>
          </w:tcPr>
          <w:p w14:paraId="612A1EF2" w14:textId="1B2CB4BC" w:rsidR="00783187" w:rsidRDefault="00783187" w:rsidP="00783187">
            <w:pPr>
              <w:rPr>
                <w:lang w:eastAsia="en-US"/>
              </w:rPr>
            </w:pPr>
            <w:r>
              <w:rPr>
                <w:lang w:eastAsia="en-US"/>
              </w:rPr>
              <w:t>TSPD</w:t>
            </w:r>
          </w:p>
        </w:tc>
        <w:tc>
          <w:tcPr>
            <w:tcW w:w="12332" w:type="dxa"/>
          </w:tcPr>
          <w:p w14:paraId="27F210B8" w14:textId="22EEBBDE" w:rsidR="00783187" w:rsidRDefault="004A5C80" w:rsidP="00783187">
            <w:pPr>
              <w:rPr>
                <w:lang w:eastAsia="en-US"/>
              </w:rPr>
            </w:pPr>
            <w:r>
              <w:rPr>
                <w:lang w:eastAsia="en-US"/>
              </w:rPr>
              <w:t>Titre Spécial de Paiement D</w:t>
            </w:r>
            <w:r w:rsidR="00405A0E">
              <w:rPr>
                <w:lang w:eastAsia="en-US"/>
              </w:rPr>
              <w:t>ématérialisé</w:t>
            </w:r>
          </w:p>
        </w:tc>
      </w:tr>
      <w:tr w:rsidR="00783187" w14:paraId="07BD912E" w14:textId="77777777" w:rsidTr="00D47CA7">
        <w:tc>
          <w:tcPr>
            <w:tcW w:w="2122" w:type="dxa"/>
          </w:tcPr>
          <w:p w14:paraId="77338B7E" w14:textId="1695E49D" w:rsidR="00783187" w:rsidRDefault="00783187" w:rsidP="00783187">
            <w:pPr>
              <w:rPr>
                <w:lang w:eastAsia="en-US"/>
              </w:rPr>
            </w:pPr>
            <w:r>
              <w:rPr>
                <w:lang w:eastAsia="en-US"/>
              </w:rPr>
              <w:t>IPS</w:t>
            </w:r>
          </w:p>
        </w:tc>
        <w:tc>
          <w:tcPr>
            <w:tcW w:w="12332" w:type="dxa"/>
          </w:tcPr>
          <w:p w14:paraId="0F7B4974" w14:textId="59BF2281" w:rsidR="00783187" w:rsidRDefault="00405A0E" w:rsidP="004A5C80">
            <w:pPr>
              <w:rPr>
                <w:lang w:eastAsia="en-US"/>
              </w:rPr>
            </w:pPr>
            <w:r>
              <w:rPr>
                <w:lang w:eastAsia="en-US"/>
              </w:rPr>
              <w:t xml:space="preserve">Instrument de </w:t>
            </w:r>
            <w:r w:rsidR="004A5C80">
              <w:rPr>
                <w:lang w:eastAsia="en-US"/>
              </w:rPr>
              <w:t>P</w:t>
            </w:r>
            <w:r>
              <w:rPr>
                <w:lang w:eastAsia="en-US"/>
              </w:rPr>
              <w:t>aiement</w:t>
            </w:r>
            <w:r w:rsidR="004A5C80">
              <w:rPr>
                <w:lang w:eastAsia="en-US"/>
              </w:rPr>
              <w:t xml:space="preserve"> S</w:t>
            </w:r>
            <w:r w:rsidR="002226E1">
              <w:rPr>
                <w:lang w:eastAsia="en-US"/>
              </w:rPr>
              <w:t>pécifique</w:t>
            </w:r>
          </w:p>
        </w:tc>
      </w:tr>
      <w:tr w:rsidR="00783187" w14:paraId="56573723" w14:textId="77777777" w:rsidTr="00D47CA7">
        <w:tc>
          <w:tcPr>
            <w:tcW w:w="2122" w:type="dxa"/>
          </w:tcPr>
          <w:p w14:paraId="0E77415E" w14:textId="4666A4B2" w:rsidR="00783187" w:rsidRDefault="00783187" w:rsidP="00783187">
            <w:pPr>
              <w:rPr>
                <w:lang w:eastAsia="en-US"/>
              </w:rPr>
            </w:pPr>
            <w:r>
              <w:rPr>
                <w:lang w:eastAsia="en-US"/>
              </w:rPr>
              <w:t>CESU</w:t>
            </w:r>
          </w:p>
        </w:tc>
        <w:tc>
          <w:tcPr>
            <w:tcW w:w="12332" w:type="dxa"/>
          </w:tcPr>
          <w:p w14:paraId="10137AB5" w14:textId="45D0DCD7" w:rsidR="00783187" w:rsidRDefault="00405A0E" w:rsidP="004A5C80">
            <w:pPr>
              <w:rPr>
                <w:lang w:eastAsia="en-US"/>
              </w:rPr>
            </w:pPr>
            <w:r>
              <w:rPr>
                <w:lang w:eastAsia="en-US"/>
              </w:rPr>
              <w:t xml:space="preserve">Chèque </w:t>
            </w:r>
            <w:r w:rsidR="004A5C80">
              <w:rPr>
                <w:lang w:eastAsia="en-US"/>
              </w:rPr>
              <w:t>E</w:t>
            </w:r>
            <w:r>
              <w:rPr>
                <w:lang w:eastAsia="en-US"/>
              </w:rPr>
              <w:t xml:space="preserve">mploi </w:t>
            </w:r>
            <w:r w:rsidR="004A5C80">
              <w:rPr>
                <w:lang w:eastAsia="en-US"/>
              </w:rPr>
              <w:t>S</w:t>
            </w:r>
            <w:r>
              <w:rPr>
                <w:lang w:eastAsia="en-US"/>
              </w:rPr>
              <w:t xml:space="preserve">ervice </w:t>
            </w:r>
            <w:r w:rsidR="004A5C80">
              <w:rPr>
                <w:lang w:eastAsia="en-US"/>
              </w:rPr>
              <w:t>U</w:t>
            </w:r>
            <w:r>
              <w:rPr>
                <w:lang w:eastAsia="en-US"/>
              </w:rPr>
              <w:t>niversel</w:t>
            </w:r>
            <w:r w:rsidR="00046C07">
              <w:rPr>
                <w:lang w:eastAsia="en-US"/>
              </w:rPr>
              <w:t xml:space="preserve"> préfinancé</w:t>
            </w:r>
          </w:p>
        </w:tc>
      </w:tr>
    </w:tbl>
    <w:p w14:paraId="12799716" w14:textId="57AA6834" w:rsidR="00783187" w:rsidRDefault="00783187" w:rsidP="00C26BA3">
      <w:pPr>
        <w:pStyle w:val="Titre2"/>
        <w:ind w:left="567"/>
      </w:pPr>
      <w:bookmarkStart w:id="8" w:name="_Toc98886333"/>
      <w:bookmarkStart w:id="9" w:name="_Toc98880920"/>
      <w:bookmarkStart w:id="10" w:name="_Toc98886334"/>
      <w:bookmarkStart w:id="11" w:name="_Toc158133135"/>
      <w:bookmarkEnd w:id="8"/>
      <w:bookmarkEnd w:id="9"/>
      <w:bookmarkEnd w:id="10"/>
      <w:r>
        <w:t>Contexte réglementaire</w:t>
      </w:r>
      <w:bookmarkEnd w:id="11"/>
    </w:p>
    <w:p w14:paraId="01D6C0A5" w14:textId="514CBD0A" w:rsidR="00A16CCC" w:rsidRDefault="00F633E9" w:rsidP="004A5C80">
      <w:pPr>
        <w:spacing w:before="0" w:beforeAutospacing="0" w:after="0" w:afterAutospacing="0"/>
        <w:jc w:val="both"/>
        <w:rPr>
          <w:sz w:val="20"/>
        </w:rPr>
      </w:pPr>
      <w:r>
        <w:rPr>
          <w:sz w:val="20"/>
        </w:rPr>
        <w:t>Constituée de deux volets, l</w:t>
      </w:r>
      <w:r w:rsidR="00CB5E09">
        <w:rPr>
          <w:sz w:val="20"/>
        </w:rPr>
        <w:t>a</w:t>
      </w:r>
      <w:r w:rsidR="00271D6A" w:rsidRPr="001929A0">
        <w:rPr>
          <w:sz w:val="20"/>
        </w:rPr>
        <w:t xml:space="preserve"> collecte </w:t>
      </w:r>
      <w:r w:rsidR="00CC5BA4" w:rsidRPr="001929A0">
        <w:rPr>
          <w:sz w:val="20"/>
        </w:rPr>
        <w:t>TSPD</w:t>
      </w:r>
      <w:r w:rsidR="00391913">
        <w:rPr>
          <w:sz w:val="20"/>
        </w:rPr>
        <w:t xml:space="preserve">, </w:t>
      </w:r>
      <w:r w:rsidR="009250BE">
        <w:rPr>
          <w:sz w:val="20"/>
        </w:rPr>
        <w:t>IPS</w:t>
      </w:r>
      <w:r w:rsidR="00391913">
        <w:rPr>
          <w:sz w:val="20"/>
        </w:rPr>
        <w:t xml:space="preserve"> et </w:t>
      </w:r>
      <w:r w:rsidR="00CC5BA4" w:rsidRPr="001929A0">
        <w:rPr>
          <w:sz w:val="20"/>
        </w:rPr>
        <w:t>CESU</w:t>
      </w:r>
      <w:r w:rsidR="00CB5E09">
        <w:rPr>
          <w:sz w:val="20"/>
        </w:rPr>
        <w:t xml:space="preserve"> </w:t>
      </w:r>
      <w:r w:rsidR="00391913">
        <w:rPr>
          <w:sz w:val="20"/>
        </w:rPr>
        <w:t>de l’</w:t>
      </w:r>
      <w:r w:rsidR="00402511">
        <w:rPr>
          <w:sz w:val="20"/>
        </w:rPr>
        <w:t>IEOM</w:t>
      </w:r>
      <w:r w:rsidR="00271D6A" w:rsidRPr="001929A0">
        <w:rPr>
          <w:sz w:val="20"/>
        </w:rPr>
        <w:t xml:space="preserve"> </w:t>
      </w:r>
      <w:r>
        <w:rPr>
          <w:sz w:val="20"/>
        </w:rPr>
        <w:t>est assurée</w:t>
      </w:r>
      <w:r w:rsidR="00CB5E09">
        <w:rPr>
          <w:sz w:val="20"/>
        </w:rPr>
        <w:t xml:space="preserve"> par l</w:t>
      </w:r>
      <w:r w:rsidR="00015588">
        <w:rPr>
          <w:sz w:val="20"/>
        </w:rPr>
        <w:t>’I</w:t>
      </w:r>
      <w:r w:rsidR="00402511">
        <w:rPr>
          <w:sz w:val="20"/>
        </w:rPr>
        <w:t>nstitut d’</w:t>
      </w:r>
      <w:r w:rsidR="00015588">
        <w:rPr>
          <w:sz w:val="20"/>
        </w:rPr>
        <w:t>E</w:t>
      </w:r>
      <w:r w:rsidR="00402511">
        <w:rPr>
          <w:sz w:val="20"/>
        </w:rPr>
        <w:t>mission d’</w:t>
      </w:r>
      <w:r w:rsidR="00015588">
        <w:rPr>
          <w:sz w:val="20"/>
        </w:rPr>
        <w:t>O</w:t>
      </w:r>
      <w:r w:rsidR="00402511">
        <w:rPr>
          <w:sz w:val="20"/>
        </w:rPr>
        <w:t>utre-</w:t>
      </w:r>
      <w:r w:rsidR="00015588">
        <w:rPr>
          <w:sz w:val="20"/>
        </w:rPr>
        <w:t>M</w:t>
      </w:r>
      <w:r w:rsidR="00402511">
        <w:rPr>
          <w:sz w:val="20"/>
        </w:rPr>
        <w:t>er (IEOM)</w:t>
      </w:r>
      <w:r w:rsidR="00CB5E09">
        <w:rPr>
          <w:sz w:val="20"/>
        </w:rPr>
        <w:t xml:space="preserve"> au titre de </w:t>
      </w:r>
      <w:r w:rsidR="00271D6A" w:rsidRPr="001929A0">
        <w:rPr>
          <w:sz w:val="20"/>
        </w:rPr>
        <w:t xml:space="preserve">la surveillance des </w:t>
      </w:r>
      <w:r w:rsidR="00CC5BA4" w:rsidRPr="001929A0">
        <w:rPr>
          <w:sz w:val="20"/>
        </w:rPr>
        <w:t>titres</w:t>
      </w:r>
      <w:r w:rsidR="00271D6A" w:rsidRPr="001929A0">
        <w:rPr>
          <w:sz w:val="20"/>
        </w:rPr>
        <w:t xml:space="preserve"> </w:t>
      </w:r>
      <w:r w:rsidR="00CC5BA4" w:rsidRPr="001929A0">
        <w:rPr>
          <w:sz w:val="20"/>
        </w:rPr>
        <w:t xml:space="preserve">spéciaux </w:t>
      </w:r>
      <w:r w:rsidR="00271D6A" w:rsidRPr="001929A0">
        <w:rPr>
          <w:sz w:val="20"/>
        </w:rPr>
        <w:t>de paiement</w:t>
      </w:r>
      <w:r w:rsidR="00CC5BA4" w:rsidRPr="001929A0">
        <w:rPr>
          <w:sz w:val="20"/>
        </w:rPr>
        <w:t xml:space="preserve"> dématérialisés</w:t>
      </w:r>
      <w:r w:rsidR="00E7174C">
        <w:rPr>
          <w:sz w:val="20"/>
        </w:rPr>
        <w:t xml:space="preserve"> (TSPD)</w:t>
      </w:r>
      <w:r w:rsidR="00014B90">
        <w:rPr>
          <w:sz w:val="20"/>
        </w:rPr>
        <w:t xml:space="preserve">, </w:t>
      </w:r>
      <w:r w:rsidR="009250BE">
        <w:rPr>
          <w:sz w:val="20"/>
        </w:rPr>
        <w:t>des instruments de paiement spécifiques</w:t>
      </w:r>
      <w:r w:rsidR="00014B90">
        <w:rPr>
          <w:sz w:val="20"/>
        </w:rPr>
        <w:t xml:space="preserve"> </w:t>
      </w:r>
      <w:r w:rsidR="00E7174C">
        <w:rPr>
          <w:sz w:val="20"/>
        </w:rPr>
        <w:t xml:space="preserve">(IPS) </w:t>
      </w:r>
      <w:r w:rsidR="00014B90">
        <w:rPr>
          <w:sz w:val="20"/>
        </w:rPr>
        <w:t xml:space="preserve">et </w:t>
      </w:r>
      <w:r w:rsidR="00117086">
        <w:rPr>
          <w:sz w:val="20"/>
        </w:rPr>
        <w:t>des chèques emploi-service</w:t>
      </w:r>
      <w:r w:rsidR="00046C07">
        <w:rPr>
          <w:sz w:val="20"/>
        </w:rPr>
        <w:t xml:space="preserve"> </w:t>
      </w:r>
      <w:r w:rsidR="00117086">
        <w:rPr>
          <w:sz w:val="20"/>
        </w:rPr>
        <w:t xml:space="preserve">universels </w:t>
      </w:r>
      <w:r w:rsidR="00046C07">
        <w:rPr>
          <w:sz w:val="20"/>
        </w:rPr>
        <w:t xml:space="preserve">préfinancés </w:t>
      </w:r>
      <w:r w:rsidR="00117086">
        <w:rPr>
          <w:sz w:val="20"/>
        </w:rPr>
        <w:t xml:space="preserve">émis </w:t>
      </w:r>
      <w:r w:rsidR="00DB1E18" w:rsidRPr="00AC32A6">
        <w:rPr>
          <w:sz w:val="20"/>
        </w:rPr>
        <w:t>sur support papier ou sous forme dématérialisée</w:t>
      </w:r>
      <w:r w:rsidR="00DB1E18">
        <w:rPr>
          <w:sz w:val="20"/>
        </w:rPr>
        <w:t xml:space="preserve"> </w:t>
      </w:r>
      <w:r w:rsidR="00E7174C">
        <w:rPr>
          <w:sz w:val="20"/>
        </w:rPr>
        <w:t>(CESU)</w:t>
      </w:r>
      <w:r w:rsidR="00EE5723">
        <w:rPr>
          <w:sz w:val="20"/>
        </w:rPr>
        <w:t xml:space="preserve"> émis dans les collectivités </w:t>
      </w:r>
      <w:r w:rsidR="009D71F2">
        <w:rPr>
          <w:sz w:val="20"/>
        </w:rPr>
        <w:t xml:space="preserve">françaises </w:t>
      </w:r>
      <w:r w:rsidR="00EE5723">
        <w:rPr>
          <w:sz w:val="20"/>
        </w:rPr>
        <w:t>du Pacifique</w:t>
      </w:r>
      <w:r w:rsidR="007272DC">
        <w:rPr>
          <w:sz w:val="20"/>
        </w:rPr>
        <w:t xml:space="preserve"> – Nouvelle-Calédonie, Polynésie française</w:t>
      </w:r>
      <w:r w:rsidR="00CB5E09">
        <w:rPr>
          <w:sz w:val="20"/>
        </w:rPr>
        <w:t xml:space="preserve"> et les </w:t>
      </w:r>
      <w:r w:rsidR="007272DC">
        <w:rPr>
          <w:sz w:val="20"/>
        </w:rPr>
        <w:t>îles Wallis-et-Futuna</w:t>
      </w:r>
      <w:r w:rsidR="00A16CCC" w:rsidRPr="001929A0">
        <w:rPr>
          <w:sz w:val="20"/>
        </w:rPr>
        <w:t>.</w:t>
      </w:r>
      <w:r w:rsidR="00855164" w:rsidRPr="001929A0">
        <w:rPr>
          <w:sz w:val="20"/>
        </w:rPr>
        <w:t xml:space="preserve"> </w:t>
      </w:r>
    </w:p>
    <w:p w14:paraId="3468A718" w14:textId="77777777" w:rsidR="004A5C80" w:rsidRDefault="004A5C80" w:rsidP="004A5C80">
      <w:pPr>
        <w:spacing w:before="0" w:beforeAutospacing="0" w:after="0" w:afterAutospacing="0"/>
        <w:jc w:val="both"/>
        <w:rPr>
          <w:sz w:val="20"/>
        </w:rPr>
      </w:pPr>
    </w:p>
    <w:p w14:paraId="26A939EF" w14:textId="03A11E30" w:rsidR="00855164" w:rsidRPr="00AC32A6" w:rsidRDefault="00855164" w:rsidP="004A5C80">
      <w:pPr>
        <w:spacing w:before="0" w:beforeAutospacing="0" w:after="0" w:afterAutospacing="0"/>
        <w:jc w:val="both"/>
        <w:rPr>
          <w:sz w:val="20"/>
        </w:rPr>
      </w:pPr>
      <w:r w:rsidRPr="00AC32A6">
        <w:rPr>
          <w:sz w:val="20"/>
        </w:rPr>
        <w:t xml:space="preserve">Les TSPD sont identifiés par Arrêté </w:t>
      </w:r>
      <w:r w:rsidR="00046C07" w:rsidRPr="00AC32A6">
        <w:rPr>
          <w:sz w:val="20"/>
        </w:rPr>
        <w:t>d</w:t>
      </w:r>
      <w:r w:rsidR="00046C07">
        <w:rPr>
          <w:sz w:val="20"/>
        </w:rPr>
        <w:t>es 17 juin 2013 et</w:t>
      </w:r>
      <w:r w:rsidR="00046C07" w:rsidRPr="00AC32A6">
        <w:rPr>
          <w:sz w:val="20"/>
        </w:rPr>
        <w:t xml:space="preserve"> </w:t>
      </w:r>
      <w:r w:rsidR="007272DC">
        <w:rPr>
          <w:sz w:val="20"/>
        </w:rPr>
        <w:t>2 février 2022</w:t>
      </w:r>
      <w:r w:rsidRPr="00AC32A6">
        <w:rPr>
          <w:sz w:val="20"/>
        </w:rPr>
        <w:t xml:space="preserve"> fixant la liste des titres spéciaux de paiement dématérialisés en application de l'article L. 525-4 du code monétaire et financier</w:t>
      </w:r>
      <w:r w:rsidR="007272DC">
        <w:rPr>
          <w:sz w:val="20"/>
        </w:rPr>
        <w:t xml:space="preserve">. L’article 2 de </w:t>
      </w:r>
      <w:r w:rsidR="00046C07">
        <w:rPr>
          <w:sz w:val="20"/>
        </w:rPr>
        <w:t>l’</w:t>
      </w:r>
      <w:r w:rsidR="007272DC">
        <w:rPr>
          <w:sz w:val="20"/>
        </w:rPr>
        <w:t>Arrêté</w:t>
      </w:r>
      <w:r w:rsidR="00046C07">
        <w:rPr>
          <w:sz w:val="20"/>
        </w:rPr>
        <w:t xml:space="preserve"> du 2 février 2022</w:t>
      </w:r>
      <w:r w:rsidR="007272DC">
        <w:rPr>
          <w:sz w:val="20"/>
        </w:rPr>
        <w:t xml:space="preserve"> le rend applicable dans les Collectivités </w:t>
      </w:r>
      <w:r w:rsidR="009D71F2">
        <w:rPr>
          <w:sz w:val="20"/>
        </w:rPr>
        <w:t xml:space="preserve">françaises </w:t>
      </w:r>
      <w:r w:rsidR="007272DC">
        <w:rPr>
          <w:sz w:val="20"/>
        </w:rPr>
        <w:t>du Pacifique</w:t>
      </w:r>
      <w:r w:rsidRPr="00AC32A6">
        <w:rPr>
          <w:sz w:val="20"/>
        </w:rPr>
        <w:t xml:space="preserve"> </w:t>
      </w:r>
      <w:r w:rsidR="00015588">
        <w:rPr>
          <w:sz w:val="20"/>
        </w:rPr>
        <w:t>(en application des articles L. 7</w:t>
      </w:r>
      <w:r w:rsidR="00E46783">
        <w:rPr>
          <w:sz w:val="20"/>
        </w:rPr>
        <w:t>73</w:t>
      </w:r>
      <w:r w:rsidR="00015588">
        <w:rPr>
          <w:sz w:val="20"/>
        </w:rPr>
        <w:t>-</w:t>
      </w:r>
      <w:r w:rsidR="00E46783">
        <w:rPr>
          <w:sz w:val="20"/>
        </w:rPr>
        <w:t>25</w:t>
      </w:r>
      <w:r w:rsidR="00015588">
        <w:rPr>
          <w:sz w:val="20"/>
        </w:rPr>
        <w:t xml:space="preserve"> en Nouvelle-Calédonie, L. </w:t>
      </w:r>
      <w:r w:rsidR="00E46783">
        <w:rPr>
          <w:sz w:val="20"/>
        </w:rPr>
        <w:t>774-25</w:t>
      </w:r>
      <w:r w:rsidR="00015588">
        <w:rPr>
          <w:sz w:val="20"/>
        </w:rPr>
        <w:t xml:space="preserve"> en Polynésie française et L. </w:t>
      </w:r>
      <w:r w:rsidR="00E46783">
        <w:rPr>
          <w:sz w:val="20"/>
        </w:rPr>
        <w:t>775-19</w:t>
      </w:r>
      <w:r w:rsidR="00402511">
        <w:rPr>
          <w:sz w:val="20"/>
        </w:rPr>
        <w:t xml:space="preserve"> dans les îles de Wallis-et-Futuna).</w:t>
      </w:r>
    </w:p>
    <w:p w14:paraId="5A0EC42D" w14:textId="77777777" w:rsidR="004A5C80" w:rsidRDefault="004A5C80" w:rsidP="004A5C80">
      <w:pPr>
        <w:spacing w:before="0" w:beforeAutospacing="0" w:after="0" w:afterAutospacing="0"/>
        <w:jc w:val="both"/>
        <w:rPr>
          <w:sz w:val="20"/>
        </w:rPr>
      </w:pPr>
    </w:p>
    <w:p w14:paraId="45203DF3" w14:textId="21692720" w:rsidR="00117086" w:rsidRPr="00AC32A6" w:rsidRDefault="00117086" w:rsidP="004A5C80">
      <w:pPr>
        <w:spacing w:before="0" w:beforeAutospacing="0" w:after="0" w:afterAutospacing="0"/>
        <w:jc w:val="both"/>
        <w:rPr>
          <w:sz w:val="20"/>
        </w:rPr>
      </w:pPr>
      <w:r w:rsidRPr="00AC32A6">
        <w:rPr>
          <w:sz w:val="20"/>
        </w:rPr>
        <w:t xml:space="preserve">Les IPS sont identifiés par Arrêté </w:t>
      </w:r>
      <w:r w:rsidR="00046C07" w:rsidRPr="00AC32A6">
        <w:rPr>
          <w:sz w:val="20"/>
        </w:rPr>
        <w:t>d</w:t>
      </w:r>
      <w:r w:rsidR="00046C07">
        <w:rPr>
          <w:sz w:val="20"/>
        </w:rPr>
        <w:t>es 4 juin 2018 et</w:t>
      </w:r>
      <w:r w:rsidR="00046C07" w:rsidRPr="00AC32A6">
        <w:rPr>
          <w:sz w:val="20"/>
        </w:rPr>
        <w:t xml:space="preserve"> </w:t>
      </w:r>
      <w:r w:rsidR="004E3084">
        <w:rPr>
          <w:sz w:val="20"/>
        </w:rPr>
        <w:t>2 février 2022 (publié parallèlement à celui concernant les TSPD)</w:t>
      </w:r>
      <w:r w:rsidRPr="00AC32A6">
        <w:rPr>
          <w:sz w:val="20"/>
        </w:rPr>
        <w:t xml:space="preserve"> fixant la liste des instruments de paiement spécifiques </w:t>
      </w:r>
      <w:r w:rsidR="00B61EB8" w:rsidRPr="00AC32A6">
        <w:rPr>
          <w:sz w:val="20"/>
        </w:rPr>
        <w:t>e</w:t>
      </w:r>
      <w:r w:rsidRPr="00AC32A6">
        <w:rPr>
          <w:sz w:val="20"/>
        </w:rPr>
        <w:t>n application de l’article L. 521-3-2 du code monétaire et financier</w:t>
      </w:r>
      <w:r w:rsidR="00402511">
        <w:rPr>
          <w:sz w:val="20"/>
        </w:rPr>
        <w:t xml:space="preserve"> (en application des articles L. </w:t>
      </w:r>
      <w:r w:rsidR="00E46783">
        <w:rPr>
          <w:sz w:val="20"/>
        </w:rPr>
        <w:t xml:space="preserve">773-21 </w:t>
      </w:r>
      <w:r w:rsidR="00402511">
        <w:rPr>
          <w:sz w:val="20"/>
        </w:rPr>
        <w:t>en Nouvelle-Calédonie, L. </w:t>
      </w:r>
      <w:r w:rsidR="00E46783">
        <w:rPr>
          <w:sz w:val="20"/>
        </w:rPr>
        <w:t>774-21</w:t>
      </w:r>
      <w:r w:rsidR="00402511">
        <w:rPr>
          <w:sz w:val="20"/>
        </w:rPr>
        <w:t xml:space="preserve"> en Polynésie française et L. </w:t>
      </w:r>
      <w:r w:rsidR="00E46783">
        <w:rPr>
          <w:sz w:val="20"/>
        </w:rPr>
        <w:t>775-15</w:t>
      </w:r>
      <w:r w:rsidR="00402511">
        <w:rPr>
          <w:sz w:val="20"/>
        </w:rPr>
        <w:t xml:space="preserve"> dans les îles de Wallis-et-Futuna).</w:t>
      </w:r>
      <w:r w:rsidRPr="00AC32A6">
        <w:rPr>
          <w:sz w:val="20"/>
        </w:rPr>
        <w:t xml:space="preserve"> </w:t>
      </w:r>
    </w:p>
    <w:p w14:paraId="57994B1A" w14:textId="77777777" w:rsidR="004A5C80" w:rsidRDefault="004A5C80" w:rsidP="004A5C80">
      <w:pPr>
        <w:spacing w:before="0" w:beforeAutospacing="0" w:after="0" w:afterAutospacing="0"/>
        <w:jc w:val="both"/>
        <w:rPr>
          <w:rFonts w:cs="Arial"/>
          <w:sz w:val="20"/>
        </w:rPr>
      </w:pPr>
    </w:p>
    <w:p w14:paraId="00F55FA2" w14:textId="0B65B339" w:rsidR="00117086" w:rsidRPr="007A230F" w:rsidRDefault="00117086" w:rsidP="004A5C80">
      <w:pPr>
        <w:spacing w:before="0" w:beforeAutospacing="0" w:after="0" w:afterAutospacing="0"/>
        <w:jc w:val="both"/>
        <w:rPr>
          <w:rFonts w:cs="Arial"/>
          <w:sz w:val="20"/>
        </w:rPr>
      </w:pPr>
      <w:r w:rsidRPr="007A230F">
        <w:rPr>
          <w:rFonts w:cs="Arial"/>
          <w:sz w:val="20"/>
        </w:rPr>
        <w:t xml:space="preserve">Le </w:t>
      </w:r>
      <w:r w:rsidR="00B61EB8" w:rsidRPr="007A230F">
        <w:rPr>
          <w:rFonts w:cs="Arial"/>
          <w:sz w:val="20"/>
        </w:rPr>
        <w:t>chèque</w:t>
      </w:r>
      <w:r w:rsidRPr="007A230F">
        <w:rPr>
          <w:rFonts w:cs="Arial"/>
          <w:sz w:val="20"/>
        </w:rPr>
        <w:t xml:space="preserve"> emploi-service universel</w:t>
      </w:r>
      <w:r w:rsidR="00046C07">
        <w:rPr>
          <w:rFonts w:cs="Arial"/>
          <w:sz w:val="20"/>
        </w:rPr>
        <w:t xml:space="preserve"> préfinancé</w:t>
      </w:r>
      <w:r w:rsidRPr="007A230F">
        <w:rPr>
          <w:rFonts w:cs="Arial"/>
          <w:sz w:val="20"/>
        </w:rPr>
        <w:t xml:space="preserve"> est un titre spécial de paiement </w:t>
      </w:r>
      <w:r w:rsidR="00B61EB8" w:rsidRPr="007A230F">
        <w:rPr>
          <w:rFonts w:cs="Arial"/>
          <w:sz w:val="20"/>
        </w:rPr>
        <w:t xml:space="preserve">mentionné au B de </w:t>
      </w:r>
      <w:r w:rsidRPr="007A230F">
        <w:rPr>
          <w:rFonts w:cs="Arial"/>
          <w:sz w:val="20"/>
        </w:rPr>
        <w:t xml:space="preserve">l’article L1271-1 </w:t>
      </w:r>
      <w:r w:rsidR="00B61EB8" w:rsidRPr="007A230F">
        <w:rPr>
          <w:rFonts w:cs="Arial"/>
          <w:sz w:val="20"/>
        </w:rPr>
        <w:t>du code du travail</w:t>
      </w:r>
      <w:r w:rsidR="007A230F" w:rsidRPr="007A230F">
        <w:rPr>
          <w:rFonts w:cs="Arial"/>
          <w:sz w:val="20"/>
        </w:rPr>
        <w:t xml:space="preserve"> (</w:t>
      </w:r>
      <w:r w:rsidR="007A230F" w:rsidRPr="00CD68D9">
        <w:rPr>
          <w:rFonts w:cs="Arial"/>
          <w:bCs/>
          <w:sz w:val="20"/>
        </w:rPr>
        <w:t xml:space="preserve">Article </w:t>
      </w:r>
      <w:proofErr w:type="spellStart"/>
      <w:r w:rsidR="007A230F" w:rsidRPr="00CD68D9">
        <w:rPr>
          <w:rFonts w:cs="Arial"/>
          <w:bCs/>
          <w:sz w:val="20"/>
        </w:rPr>
        <w:t>Lp</w:t>
      </w:r>
      <w:proofErr w:type="spellEnd"/>
      <w:r w:rsidR="007A230F" w:rsidRPr="00CD68D9">
        <w:rPr>
          <w:rFonts w:cs="Arial"/>
          <w:bCs/>
          <w:sz w:val="20"/>
        </w:rPr>
        <w:t xml:space="preserve">. 125-10 du Code du travail de Nouvelle-Calédonie et </w:t>
      </w:r>
      <w:r w:rsidR="007A230F" w:rsidRPr="00CD68D9">
        <w:rPr>
          <w:rFonts w:cs="Arial"/>
          <w:sz w:val="20"/>
        </w:rPr>
        <w:t>Article</w:t>
      </w:r>
      <w:r w:rsidR="008D3F6D">
        <w:rPr>
          <w:rFonts w:cs="Arial"/>
          <w:sz w:val="20"/>
        </w:rPr>
        <w:t>s</w:t>
      </w:r>
      <w:r w:rsidR="007A230F" w:rsidRPr="00CD68D9">
        <w:rPr>
          <w:rFonts w:cs="Arial"/>
          <w:sz w:val="20"/>
        </w:rPr>
        <w:t xml:space="preserve"> </w:t>
      </w:r>
      <w:proofErr w:type="spellStart"/>
      <w:r w:rsidR="007A230F" w:rsidRPr="00CD68D9">
        <w:rPr>
          <w:rFonts w:cs="Arial"/>
          <w:sz w:val="20"/>
        </w:rPr>
        <w:t>Lp</w:t>
      </w:r>
      <w:proofErr w:type="spellEnd"/>
      <w:r w:rsidR="007A230F" w:rsidRPr="00CD68D9">
        <w:rPr>
          <w:rFonts w:cs="Arial"/>
          <w:sz w:val="20"/>
        </w:rPr>
        <w:t xml:space="preserve">. 1234-1 à </w:t>
      </w:r>
      <w:proofErr w:type="spellStart"/>
      <w:r w:rsidR="007A230F" w:rsidRPr="00CD68D9">
        <w:rPr>
          <w:rFonts w:cs="Arial"/>
          <w:sz w:val="20"/>
        </w:rPr>
        <w:t>Lp</w:t>
      </w:r>
      <w:proofErr w:type="spellEnd"/>
      <w:r w:rsidR="007A230F" w:rsidRPr="00CD68D9">
        <w:rPr>
          <w:rFonts w:cs="Arial"/>
          <w:sz w:val="20"/>
        </w:rPr>
        <w:t xml:space="preserve"> 1234-14 du code du travail de Polynésie française)</w:t>
      </w:r>
      <w:r w:rsidR="00B61EB8" w:rsidRPr="007A230F">
        <w:rPr>
          <w:rFonts w:cs="Arial"/>
          <w:sz w:val="20"/>
        </w:rPr>
        <w:t>. Selon l’article D1271-7 du code du travail</w:t>
      </w:r>
      <w:r w:rsidR="007A230F" w:rsidRPr="007A230F">
        <w:rPr>
          <w:rFonts w:cs="Arial"/>
          <w:sz w:val="20"/>
        </w:rPr>
        <w:t xml:space="preserve"> (articles </w:t>
      </w:r>
      <w:r w:rsidR="007A230F" w:rsidRPr="00CD68D9">
        <w:rPr>
          <w:rFonts w:cs="Arial"/>
          <w:sz w:val="20"/>
        </w:rPr>
        <w:t xml:space="preserve">R. 125-1 et s. </w:t>
      </w:r>
      <w:r w:rsidR="007A230F" w:rsidRPr="007A230F">
        <w:rPr>
          <w:rFonts w:cs="Arial"/>
          <w:sz w:val="20"/>
        </w:rPr>
        <w:t>en Nouvelle-Calédonie et pas de disposition réglementaire</w:t>
      </w:r>
      <w:r w:rsidR="007A230F">
        <w:rPr>
          <w:rFonts w:cs="Arial"/>
          <w:sz w:val="20"/>
        </w:rPr>
        <w:t xml:space="preserve"> en Polynésie française)</w:t>
      </w:r>
      <w:r w:rsidR="00B61EB8" w:rsidRPr="007A230F">
        <w:rPr>
          <w:rFonts w:cs="Arial"/>
          <w:sz w:val="20"/>
        </w:rPr>
        <w:t xml:space="preserve">, le titre spécial de paiement mentionné au B de l’article L1271-1 est émis sur support papier ou sous forme dématérialisée, conformément aux dispositions de l’article D.1271-4. </w:t>
      </w:r>
      <w:r w:rsidR="001A3714">
        <w:rPr>
          <w:rFonts w:cs="Arial"/>
          <w:sz w:val="20"/>
        </w:rPr>
        <w:t>Selon la forme qu’il prend, le CESU est un TSPD ou un IPS.</w:t>
      </w:r>
    </w:p>
    <w:p w14:paraId="40B50B6C" w14:textId="77777777" w:rsidR="004A5C80" w:rsidRDefault="004A5C80" w:rsidP="004A5C80">
      <w:pPr>
        <w:pStyle w:val="NormalWeb"/>
        <w:spacing w:before="0" w:beforeAutospacing="0" w:after="0" w:afterAutospacing="0"/>
        <w:jc w:val="both"/>
        <w:rPr>
          <w:rFonts w:ascii="Arial" w:hAnsi="Arial" w:cs="Arial"/>
          <w:sz w:val="20"/>
          <w:szCs w:val="20"/>
        </w:rPr>
      </w:pPr>
    </w:p>
    <w:p w14:paraId="606280D9" w14:textId="06247BFB" w:rsidR="00A22E62" w:rsidRPr="00A22E62" w:rsidRDefault="00855164" w:rsidP="004A5C80">
      <w:pPr>
        <w:pStyle w:val="NormalWeb"/>
        <w:spacing w:before="0" w:beforeAutospacing="0" w:after="0" w:afterAutospacing="0"/>
        <w:jc w:val="both"/>
        <w:rPr>
          <w:rFonts w:ascii="Arial" w:hAnsi="Arial" w:cs="Arial"/>
          <w:sz w:val="20"/>
          <w:szCs w:val="20"/>
        </w:rPr>
      </w:pPr>
      <w:r w:rsidRPr="001929A0">
        <w:rPr>
          <w:rFonts w:ascii="Arial" w:hAnsi="Arial" w:cs="Arial"/>
          <w:sz w:val="20"/>
          <w:szCs w:val="20"/>
        </w:rPr>
        <w:t xml:space="preserve">La surveillance de </w:t>
      </w:r>
      <w:r w:rsidR="00B61EB8">
        <w:rPr>
          <w:rFonts w:ascii="Arial" w:hAnsi="Arial" w:cs="Arial"/>
          <w:sz w:val="20"/>
          <w:szCs w:val="20"/>
        </w:rPr>
        <w:t>la sécurité de</w:t>
      </w:r>
      <w:r w:rsidR="00A22E62">
        <w:rPr>
          <w:rFonts w:ascii="Arial" w:hAnsi="Arial" w:cs="Arial"/>
          <w:sz w:val="20"/>
          <w:szCs w:val="20"/>
        </w:rPr>
        <w:t>s différents processus de traitement de</w:t>
      </w:r>
      <w:r w:rsidR="00B61EB8">
        <w:rPr>
          <w:rFonts w:ascii="Arial" w:hAnsi="Arial" w:cs="Arial"/>
          <w:sz w:val="20"/>
          <w:szCs w:val="20"/>
        </w:rPr>
        <w:t xml:space="preserve"> </w:t>
      </w:r>
      <w:r w:rsidRPr="001929A0">
        <w:rPr>
          <w:rFonts w:ascii="Arial" w:hAnsi="Arial" w:cs="Arial"/>
          <w:sz w:val="20"/>
          <w:szCs w:val="20"/>
        </w:rPr>
        <w:t xml:space="preserve">ces titres </w:t>
      </w:r>
      <w:r w:rsidR="009D71F2">
        <w:rPr>
          <w:rFonts w:ascii="Arial" w:hAnsi="Arial" w:cs="Arial"/>
          <w:sz w:val="20"/>
          <w:szCs w:val="20"/>
        </w:rPr>
        <w:t xml:space="preserve">et instruments </w:t>
      </w:r>
      <w:r w:rsidR="00A22E62">
        <w:rPr>
          <w:rFonts w:ascii="Arial" w:hAnsi="Arial" w:cs="Arial"/>
          <w:sz w:val="20"/>
          <w:szCs w:val="20"/>
        </w:rPr>
        <w:t xml:space="preserve">s’appuie sur les dispositions suivantes : </w:t>
      </w:r>
    </w:p>
    <w:p w14:paraId="3DF5EB1C" w14:textId="42C9E913" w:rsidR="00855164" w:rsidRDefault="00A22E62" w:rsidP="004A5C80">
      <w:pPr>
        <w:pStyle w:val="NormalWeb"/>
        <w:numPr>
          <w:ilvl w:val="0"/>
          <w:numId w:val="9"/>
        </w:numPr>
        <w:spacing w:before="0" w:beforeAutospacing="0" w:after="0" w:afterAutospacing="0"/>
        <w:jc w:val="both"/>
        <w:rPr>
          <w:rFonts w:ascii="Arial" w:hAnsi="Arial" w:cs="Arial"/>
          <w:sz w:val="20"/>
          <w:szCs w:val="20"/>
        </w:rPr>
      </w:pPr>
      <w:r>
        <w:rPr>
          <w:rFonts w:ascii="Arial" w:hAnsi="Arial" w:cs="Arial"/>
          <w:sz w:val="20"/>
          <w:szCs w:val="20"/>
        </w:rPr>
        <w:t xml:space="preserve">Articles </w:t>
      </w:r>
      <w:r w:rsidR="004E605C">
        <w:rPr>
          <w:rFonts w:ascii="Arial" w:hAnsi="Arial" w:cs="Arial"/>
          <w:sz w:val="20"/>
          <w:szCs w:val="20"/>
        </w:rPr>
        <w:t xml:space="preserve">R 1271-22 et </w:t>
      </w:r>
      <w:r>
        <w:rPr>
          <w:rFonts w:ascii="Arial" w:hAnsi="Arial" w:cs="Arial"/>
          <w:sz w:val="20"/>
          <w:szCs w:val="20"/>
        </w:rPr>
        <w:t xml:space="preserve">R1271-23 du Code du travail </w:t>
      </w:r>
      <w:r w:rsidR="00421E31">
        <w:rPr>
          <w:rFonts w:ascii="Arial" w:hAnsi="Arial" w:cs="Arial"/>
          <w:sz w:val="20"/>
          <w:szCs w:val="20"/>
        </w:rPr>
        <w:t>pour les</w:t>
      </w:r>
      <w:r>
        <w:rPr>
          <w:rFonts w:ascii="Arial" w:hAnsi="Arial" w:cs="Arial"/>
          <w:sz w:val="20"/>
          <w:szCs w:val="20"/>
        </w:rPr>
        <w:t>-CESU</w:t>
      </w:r>
      <w:r w:rsidR="002226E1">
        <w:rPr>
          <w:rFonts w:ascii="Arial" w:hAnsi="Arial" w:cs="Arial"/>
          <w:sz w:val="20"/>
          <w:szCs w:val="20"/>
        </w:rPr>
        <w:t>,</w:t>
      </w:r>
      <w:r w:rsidR="004F5B22">
        <w:rPr>
          <w:rFonts w:ascii="Arial" w:hAnsi="Arial" w:cs="Arial"/>
          <w:sz w:val="20"/>
          <w:szCs w:val="20"/>
        </w:rPr>
        <w:t xml:space="preserve"> décliné dans le livre VII du CMF</w:t>
      </w:r>
      <w:r w:rsidR="004E605C">
        <w:rPr>
          <w:rFonts w:ascii="Arial" w:hAnsi="Arial" w:cs="Arial"/>
          <w:sz w:val="20"/>
          <w:szCs w:val="20"/>
        </w:rPr>
        <w:t> ;</w:t>
      </w:r>
    </w:p>
    <w:p w14:paraId="01FC1D47" w14:textId="285C957F" w:rsidR="00421E31" w:rsidRDefault="00421E31" w:rsidP="004A5C80">
      <w:pPr>
        <w:pStyle w:val="NormalWeb"/>
        <w:numPr>
          <w:ilvl w:val="0"/>
          <w:numId w:val="9"/>
        </w:numPr>
        <w:spacing w:before="0" w:beforeAutospacing="0" w:after="0" w:afterAutospacing="0"/>
        <w:jc w:val="both"/>
        <w:rPr>
          <w:rFonts w:ascii="Arial" w:hAnsi="Arial" w:cs="Arial"/>
          <w:sz w:val="20"/>
          <w:szCs w:val="20"/>
        </w:rPr>
      </w:pPr>
      <w:r>
        <w:rPr>
          <w:rFonts w:ascii="Arial" w:hAnsi="Arial" w:cs="Arial"/>
          <w:sz w:val="20"/>
          <w:szCs w:val="20"/>
        </w:rPr>
        <w:t>Article L525-4 du Code monétaire et financier pour les TSPD, décliné dans le livre VII du CMF ;</w:t>
      </w:r>
    </w:p>
    <w:p w14:paraId="1E497428" w14:textId="30E49D9B" w:rsidR="00A22E62" w:rsidRDefault="00A22E62" w:rsidP="004A5C80">
      <w:pPr>
        <w:pStyle w:val="NormalWeb"/>
        <w:numPr>
          <w:ilvl w:val="0"/>
          <w:numId w:val="9"/>
        </w:numPr>
        <w:spacing w:before="0" w:beforeAutospacing="0" w:after="0" w:afterAutospacing="0"/>
        <w:jc w:val="both"/>
        <w:rPr>
          <w:rFonts w:ascii="Arial" w:hAnsi="Arial" w:cs="Arial"/>
          <w:sz w:val="20"/>
          <w:szCs w:val="20"/>
        </w:rPr>
      </w:pPr>
      <w:r>
        <w:rPr>
          <w:rFonts w:ascii="Arial" w:hAnsi="Arial" w:cs="Arial"/>
          <w:sz w:val="20"/>
          <w:szCs w:val="20"/>
        </w:rPr>
        <w:t>Article L521-3-2 du Code monétaire et financier pour les IPS</w:t>
      </w:r>
      <w:r w:rsidR="002226E1">
        <w:rPr>
          <w:rFonts w:ascii="Arial" w:hAnsi="Arial" w:cs="Arial"/>
          <w:sz w:val="20"/>
          <w:szCs w:val="20"/>
        </w:rPr>
        <w:t>,</w:t>
      </w:r>
      <w:r w:rsidR="004F5B22" w:rsidRPr="004F5B22">
        <w:rPr>
          <w:rFonts w:ascii="Arial" w:hAnsi="Arial" w:cs="Arial"/>
          <w:sz w:val="20"/>
          <w:szCs w:val="20"/>
        </w:rPr>
        <w:t xml:space="preserve"> </w:t>
      </w:r>
      <w:r w:rsidR="004F5B22">
        <w:rPr>
          <w:rFonts w:ascii="Arial" w:hAnsi="Arial" w:cs="Arial"/>
          <w:sz w:val="20"/>
          <w:szCs w:val="20"/>
        </w:rPr>
        <w:t>décliné dans le livre VII du CMF</w:t>
      </w:r>
      <w:r>
        <w:rPr>
          <w:rFonts w:ascii="Arial" w:hAnsi="Arial" w:cs="Arial"/>
          <w:sz w:val="20"/>
          <w:szCs w:val="20"/>
        </w:rPr>
        <w:t>.</w:t>
      </w:r>
    </w:p>
    <w:p w14:paraId="4D7F1129" w14:textId="118FF0CF" w:rsidR="00901FAD" w:rsidRDefault="00901FAD" w:rsidP="00901FAD">
      <w:pPr>
        <w:pStyle w:val="NormalWeb"/>
        <w:spacing w:before="0" w:beforeAutospacing="0" w:after="0" w:afterAutospacing="0"/>
        <w:jc w:val="both"/>
        <w:rPr>
          <w:rFonts w:ascii="Arial" w:hAnsi="Arial" w:cs="Arial"/>
          <w:sz w:val="20"/>
          <w:szCs w:val="20"/>
        </w:rPr>
      </w:pPr>
    </w:p>
    <w:p w14:paraId="3CCBC79A" w14:textId="08C15B1C" w:rsidR="00901FAD" w:rsidRDefault="00901FAD" w:rsidP="00C26BA3">
      <w:pPr>
        <w:pStyle w:val="Titre2"/>
        <w:ind w:left="567"/>
      </w:pPr>
      <w:bookmarkStart w:id="12" w:name="_Toc158133136"/>
      <w:r>
        <w:lastRenderedPageBreak/>
        <w:t xml:space="preserve">Emetteurs de Titres spéciaux de paiement dématérialisés, Instruments de paiement spécifique et chèques emploi-service universels préfinancés </w:t>
      </w:r>
      <w:r w:rsidR="009A6E9C">
        <w:t>assujettis à la collecte</w:t>
      </w:r>
      <w:bookmarkEnd w:id="12"/>
    </w:p>
    <w:p w14:paraId="5A15EF7E" w14:textId="5BC761C2" w:rsidR="00901FAD" w:rsidRDefault="00901FAD" w:rsidP="00901FAD">
      <w:pPr>
        <w:pStyle w:val="NormalWeb"/>
        <w:spacing w:before="0" w:beforeAutospacing="0" w:after="0" w:afterAutospacing="0"/>
        <w:jc w:val="both"/>
        <w:rPr>
          <w:rFonts w:ascii="Arial" w:hAnsi="Arial" w:cs="Arial"/>
          <w:sz w:val="20"/>
        </w:rPr>
      </w:pPr>
      <w:r w:rsidRPr="00901FAD">
        <w:rPr>
          <w:rFonts w:ascii="Arial" w:hAnsi="Arial" w:cs="Arial"/>
          <w:sz w:val="20"/>
          <w:szCs w:val="20"/>
        </w:rPr>
        <w:t>Selon la nature des titres émis, les</w:t>
      </w:r>
      <w:r>
        <w:rPr>
          <w:rFonts w:ascii="Arial" w:hAnsi="Arial" w:cs="Arial"/>
          <w:sz w:val="20"/>
          <w:szCs w:val="20"/>
        </w:rPr>
        <w:t xml:space="preserve"> entreprises </w:t>
      </w:r>
      <w:r w:rsidRPr="00901FAD">
        <w:rPr>
          <w:rFonts w:ascii="Arial" w:hAnsi="Arial" w:cs="Arial"/>
          <w:sz w:val="20"/>
          <w:szCs w:val="20"/>
        </w:rPr>
        <w:t>assujetti</w:t>
      </w:r>
      <w:r>
        <w:rPr>
          <w:rFonts w:ascii="Arial" w:hAnsi="Arial" w:cs="Arial"/>
          <w:sz w:val="20"/>
          <w:szCs w:val="20"/>
        </w:rPr>
        <w:t>e</w:t>
      </w:r>
      <w:r w:rsidRPr="00901FAD">
        <w:rPr>
          <w:rFonts w:ascii="Arial" w:hAnsi="Arial" w:cs="Arial"/>
          <w:sz w:val="20"/>
          <w:szCs w:val="20"/>
        </w:rPr>
        <w:t xml:space="preserve">s à la collecte </w:t>
      </w:r>
      <w:r w:rsidRPr="00901FAD">
        <w:rPr>
          <w:rFonts w:ascii="Arial" w:hAnsi="Arial" w:cs="Arial"/>
          <w:sz w:val="20"/>
        </w:rPr>
        <w:t>TSPD, IPS et CESU de l’IEO</w:t>
      </w:r>
      <w:r>
        <w:rPr>
          <w:rFonts w:ascii="Arial" w:hAnsi="Arial" w:cs="Arial"/>
          <w:sz w:val="20"/>
        </w:rPr>
        <w:t xml:space="preserve">M sont celles qui </w:t>
      </w:r>
      <w:r w:rsidR="002B70A6">
        <w:rPr>
          <w:rFonts w:ascii="Arial" w:hAnsi="Arial" w:cs="Arial"/>
          <w:sz w:val="20"/>
        </w:rPr>
        <w:t>émettent des</w:t>
      </w:r>
      <w:r w:rsidR="009A6E9C">
        <w:rPr>
          <w:rFonts w:ascii="Arial" w:hAnsi="Arial" w:cs="Arial"/>
          <w:sz w:val="20"/>
        </w:rPr>
        <w:t xml:space="preserve"> titres ou instruments </w:t>
      </w:r>
      <w:r w:rsidR="002B70A6">
        <w:rPr>
          <w:rFonts w:ascii="Arial" w:hAnsi="Arial" w:cs="Arial"/>
          <w:sz w:val="20"/>
        </w:rPr>
        <w:t xml:space="preserve">de ce type et les proposent </w:t>
      </w:r>
      <w:r w:rsidR="009A6E9C">
        <w:rPr>
          <w:rFonts w:ascii="Arial" w:hAnsi="Arial" w:cs="Arial"/>
          <w:sz w:val="20"/>
        </w:rPr>
        <w:t>à leurs clients</w:t>
      </w:r>
      <w:r w:rsidR="00421E31">
        <w:rPr>
          <w:rFonts w:ascii="Arial" w:hAnsi="Arial" w:cs="Arial"/>
          <w:sz w:val="20"/>
        </w:rPr>
        <w:t xml:space="preserve"> </w:t>
      </w:r>
      <w:r w:rsidR="00421E31">
        <w:rPr>
          <w:rFonts w:ascii="Arial" w:hAnsi="Arial" w:cs="Arial"/>
          <w:i/>
          <w:color w:val="0070C0"/>
          <w:sz w:val="20"/>
        </w:rPr>
        <w:t>dans les Collectivités françaises du Pacifique (Nouvelle-Calédonie, Polynésie française, îles Wallis-et-Futuna)</w:t>
      </w:r>
      <w:r w:rsidR="009A6E9C">
        <w:rPr>
          <w:rFonts w:ascii="Arial" w:hAnsi="Arial" w:cs="Arial"/>
          <w:sz w:val="20"/>
        </w:rPr>
        <w:t>.</w:t>
      </w:r>
    </w:p>
    <w:p w14:paraId="30D0CC33" w14:textId="76898698" w:rsidR="000F2782" w:rsidRDefault="000F2782" w:rsidP="009A6E9C">
      <w:pPr>
        <w:pStyle w:val="NormalWeb"/>
        <w:spacing w:before="0" w:beforeAutospacing="0" w:after="0" w:afterAutospacing="0"/>
        <w:jc w:val="both"/>
        <w:rPr>
          <w:rFonts w:ascii="Arial" w:hAnsi="Arial" w:cs="Arial"/>
          <w:sz w:val="20"/>
        </w:rPr>
      </w:pPr>
    </w:p>
    <w:p w14:paraId="14FD7247" w14:textId="5692D387" w:rsidR="009A6E9C" w:rsidRDefault="009A6E9C" w:rsidP="009A6E9C">
      <w:pPr>
        <w:pStyle w:val="NormalWeb"/>
        <w:spacing w:before="0" w:beforeAutospacing="0" w:after="0" w:afterAutospacing="0"/>
        <w:jc w:val="both"/>
        <w:rPr>
          <w:rFonts w:ascii="Arial" w:hAnsi="Arial" w:cs="Arial"/>
          <w:sz w:val="20"/>
        </w:rPr>
      </w:pPr>
      <w:r>
        <w:rPr>
          <w:rFonts w:ascii="Arial" w:hAnsi="Arial" w:cs="Arial"/>
          <w:sz w:val="20"/>
        </w:rPr>
        <w:t xml:space="preserve">Par type, sont concernés par la collecte, </w:t>
      </w:r>
      <w:r w:rsidR="009D71F2">
        <w:rPr>
          <w:rFonts w:ascii="Arial" w:hAnsi="Arial" w:cs="Arial"/>
          <w:sz w:val="20"/>
        </w:rPr>
        <w:t>les émetteurs de</w:t>
      </w:r>
      <w:r>
        <w:rPr>
          <w:rFonts w:ascii="Arial" w:hAnsi="Arial" w:cs="Arial"/>
          <w:sz w:val="20"/>
        </w:rPr>
        <w:t xml:space="preserve"> titres ou instruments listés ci- après </w:t>
      </w:r>
    </w:p>
    <w:p w14:paraId="26CF00F2" w14:textId="77777777" w:rsidR="009A6E9C" w:rsidRDefault="009A6E9C" w:rsidP="009A6E9C">
      <w:pPr>
        <w:pStyle w:val="NormalWeb"/>
        <w:spacing w:before="0" w:beforeAutospacing="0" w:after="0" w:afterAutospacing="0"/>
        <w:jc w:val="both"/>
        <w:rPr>
          <w:rFonts w:ascii="Arial" w:hAnsi="Arial" w:cs="Arial"/>
          <w:sz w:val="20"/>
          <w:szCs w:val="20"/>
        </w:rPr>
      </w:pPr>
    </w:p>
    <w:p w14:paraId="52A578E3" w14:textId="2097C206" w:rsidR="00901FAD" w:rsidRPr="000F2782" w:rsidRDefault="00901FAD" w:rsidP="009A6E9C">
      <w:pPr>
        <w:pStyle w:val="NormalWeb"/>
        <w:spacing w:before="0" w:beforeAutospacing="0" w:after="0" w:afterAutospacing="0"/>
        <w:jc w:val="both"/>
        <w:rPr>
          <w:rFonts w:ascii="Arial" w:hAnsi="Arial" w:cs="Arial"/>
          <w:sz w:val="20"/>
          <w:szCs w:val="20"/>
        </w:rPr>
      </w:pPr>
      <w:r w:rsidRPr="009A6E9C">
        <w:rPr>
          <w:rFonts w:ascii="Arial" w:hAnsi="Arial" w:cs="Arial"/>
          <w:b/>
          <w:sz w:val="20"/>
          <w:szCs w:val="20"/>
        </w:rPr>
        <w:t>T</w:t>
      </w:r>
      <w:r w:rsidR="009A6E9C" w:rsidRPr="009A6E9C">
        <w:rPr>
          <w:rFonts w:ascii="Arial" w:hAnsi="Arial" w:cs="Arial"/>
          <w:b/>
          <w:sz w:val="20"/>
          <w:szCs w:val="20"/>
        </w:rPr>
        <w:t xml:space="preserve">itres </w:t>
      </w:r>
      <w:r w:rsidRPr="009A6E9C">
        <w:rPr>
          <w:rFonts w:ascii="Arial" w:hAnsi="Arial" w:cs="Arial"/>
          <w:b/>
          <w:sz w:val="20"/>
          <w:szCs w:val="20"/>
        </w:rPr>
        <w:t>S</w:t>
      </w:r>
      <w:r w:rsidR="009A6E9C" w:rsidRPr="009A6E9C">
        <w:rPr>
          <w:rFonts w:ascii="Arial" w:hAnsi="Arial" w:cs="Arial"/>
          <w:b/>
          <w:sz w:val="20"/>
          <w:szCs w:val="20"/>
        </w:rPr>
        <w:t xml:space="preserve">péciaux de </w:t>
      </w:r>
      <w:r w:rsidRPr="009A6E9C">
        <w:rPr>
          <w:rFonts w:ascii="Arial" w:hAnsi="Arial" w:cs="Arial"/>
          <w:b/>
          <w:sz w:val="20"/>
          <w:szCs w:val="20"/>
        </w:rPr>
        <w:t>P</w:t>
      </w:r>
      <w:r w:rsidR="009A6E9C" w:rsidRPr="009A6E9C">
        <w:rPr>
          <w:rFonts w:ascii="Arial" w:hAnsi="Arial" w:cs="Arial"/>
          <w:b/>
          <w:sz w:val="20"/>
          <w:szCs w:val="20"/>
        </w:rPr>
        <w:t xml:space="preserve">aiement </w:t>
      </w:r>
      <w:r w:rsidRPr="009A6E9C">
        <w:rPr>
          <w:rFonts w:ascii="Arial" w:hAnsi="Arial" w:cs="Arial"/>
          <w:b/>
          <w:sz w:val="20"/>
          <w:szCs w:val="20"/>
        </w:rPr>
        <w:t>D</w:t>
      </w:r>
      <w:r w:rsidR="009A6E9C" w:rsidRPr="009A6E9C">
        <w:rPr>
          <w:rFonts w:ascii="Arial" w:hAnsi="Arial" w:cs="Arial"/>
          <w:b/>
          <w:sz w:val="20"/>
          <w:szCs w:val="20"/>
        </w:rPr>
        <w:t>ématérialisés</w:t>
      </w:r>
      <w:r w:rsidRPr="000F2782">
        <w:rPr>
          <w:rFonts w:ascii="Arial" w:hAnsi="Arial" w:cs="Arial"/>
          <w:sz w:val="20"/>
          <w:szCs w:val="20"/>
        </w:rPr>
        <w:t> :</w:t>
      </w:r>
    </w:p>
    <w:p w14:paraId="0054CAB2" w14:textId="77777777" w:rsidR="009A6E9C" w:rsidRDefault="009A6E9C" w:rsidP="009A6E9C">
      <w:pPr>
        <w:spacing w:before="0" w:beforeAutospacing="0" w:after="0" w:afterAutospacing="0"/>
        <w:jc w:val="both"/>
        <w:rPr>
          <w:rFonts w:cs="Arial"/>
          <w:sz w:val="20"/>
        </w:rPr>
      </w:pPr>
    </w:p>
    <w:p w14:paraId="0164F354" w14:textId="3404BC9C" w:rsidR="000F2782" w:rsidRPr="000F2782" w:rsidRDefault="00421E31" w:rsidP="009A6E9C">
      <w:pPr>
        <w:spacing w:before="0" w:beforeAutospacing="0" w:after="0" w:afterAutospacing="0"/>
        <w:jc w:val="both"/>
        <w:rPr>
          <w:rFonts w:cs="Arial"/>
          <w:sz w:val="20"/>
        </w:rPr>
      </w:pPr>
      <w:r>
        <w:rPr>
          <w:rFonts w:cs="Arial"/>
          <w:sz w:val="20"/>
        </w:rPr>
        <w:t>L’article L. 525-4</w:t>
      </w:r>
      <w:r w:rsidR="000F2782" w:rsidRPr="000F2782">
        <w:rPr>
          <w:rFonts w:cs="Arial"/>
          <w:sz w:val="20"/>
        </w:rPr>
        <w:t xml:space="preserve"> renvoie à un arrêté le soin de fixer la liste des titres spéciaux de paiement dématérialisés (TSPD). Il s’agit de l‘arrêté du 17 juin 2013, complété par un arrêté du 2 février 2022 étendu dans les COM (article 2), qui vise :</w:t>
      </w:r>
    </w:p>
    <w:p w14:paraId="18D7A167" w14:textId="77777777" w:rsidR="000F2782" w:rsidRPr="000F2782" w:rsidRDefault="000F2782" w:rsidP="009A6E9C">
      <w:pPr>
        <w:pStyle w:val="NormalWeb"/>
        <w:shd w:val="clear" w:color="auto" w:fill="FFFFFF"/>
        <w:spacing w:before="0" w:beforeAutospacing="0" w:after="0" w:afterAutospacing="0"/>
        <w:jc w:val="both"/>
        <w:rPr>
          <w:rFonts w:ascii="Arial" w:hAnsi="Arial" w:cs="Arial"/>
          <w:color w:val="000000"/>
          <w:sz w:val="20"/>
          <w:szCs w:val="20"/>
        </w:rPr>
      </w:pPr>
    </w:p>
    <w:p w14:paraId="2357B5A0" w14:textId="77777777" w:rsidR="000F2782" w:rsidRPr="000F2782" w:rsidRDefault="000F2782" w:rsidP="009A6E9C">
      <w:pPr>
        <w:pStyle w:val="NormalWeb"/>
        <w:numPr>
          <w:ilvl w:val="0"/>
          <w:numId w:val="9"/>
        </w:numPr>
        <w:shd w:val="clear" w:color="auto" w:fill="FFFFFF"/>
        <w:spacing w:before="0" w:beforeAutospacing="0" w:after="0" w:afterAutospacing="0"/>
        <w:jc w:val="both"/>
        <w:rPr>
          <w:rFonts w:ascii="Arial" w:hAnsi="Arial" w:cs="Arial"/>
          <w:color w:val="000000"/>
          <w:sz w:val="20"/>
          <w:szCs w:val="20"/>
        </w:rPr>
      </w:pPr>
      <w:r w:rsidRPr="000F2782">
        <w:rPr>
          <w:rFonts w:ascii="Arial" w:hAnsi="Arial" w:cs="Arial"/>
          <w:color w:val="000000"/>
          <w:sz w:val="20"/>
          <w:szCs w:val="20"/>
        </w:rPr>
        <w:t>le titre-restaurant ;</w:t>
      </w:r>
    </w:p>
    <w:p w14:paraId="76DF8BDB" w14:textId="77777777" w:rsidR="000F2782" w:rsidRPr="000F2782" w:rsidRDefault="000F2782" w:rsidP="009A6E9C">
      <w:pPr>
        <w:pStyle w:val="NormalWeb"/>
        <w:numPr>
          <w:ilvl w:val="0"/>
          <w:numId w:val="9"/>
        </w:numPr>
        <w:shd w:val="clear" w:color="auto" w:fill="FFFFFF"/>
        <w:spacing w:before="0" w:beforeAutospacing="0" w:after="0" w:afterAutospacing="0"/>
        <w:jc w:val="both"/>
        <w:rPr>
          <w:rFonts w:ascii="Arial" w:hAnsi="Arial" w:cs="Arial"/>
          <w:color w:val="000000"/>
          <w:sz w:val="20"/>
          <w:szCs w:val="20"/>
        </w:rPr>
      </w:pPr>
      <w:r w:rsidRPr="000F2782">
        <w:rPr>
          <w:rFonts w:ascii="Arial" w:hAnsi="Arial" w:cs="Arial"/>
          <w:color w:val="000000"/>
          <w:sz w:val="20"/>
          <w:szCs w:val="20"/>
        </w:rPr>
        <w:t>le chèque-repas du bénévole ;</w:t>
      </w:r>
    </w:p>
    <w:p w14:paraId="7905591D" w14:textId="77777777" w:rsidR="000F2782" w:rsidRPr="000F2782" w:rsidRDefault="000F2782" w:rsidP="009A6E9C">
      <w:pPr>
        <w:pStyle w:val="NormalWeb"/>
        <w:numPr>
          <w:ilvl w:val="0"/>
          <w:numId w:val="9"/>
        </w:numPr>
        <w:shd w:val="clear" w:color="auto" w:fill="FFFFFF"/>
        <w:spacing w:before="0" w:beforeAutospacing="0" w:after="0" w:afterAutospacing="0"/>
        <w:jc w:val="both"/>
        <w:rPr>
          <w:rFonts w:ascii="Arial" w:hAnsi="Arial" w:cs="Arial"/>
          <w:color w:val="000000"/>
          <w:sz w:val="20"/>
          <w:szCs w:val="20"/>
        </w:rPr>
      </w:pPr>
      <w:r w:rsidRPr="000F2782">
        <w:rPr>
          <w:rFonts w:ascii="Arial" w:hAnsi="Arial" w:cs="Arial"/>
          <w:color w:val="000000"/>
          <w:sz w:val="20"/>
          <w:szCs w:val="20"/>
        </w:rPr>
        <w:t>le titre-repas du volontaire ;</w:t>
      </w:r>
    </w:p>
    <w:p w14:paraId="5D389C34" w14:textId="77777777" w:rsidR="000F2782" w:rsidRPr="000F2782" w:rsidRDefault="000F2782" w:rsidP="009A6E9C">
      <w:pPr>
        <w:pStyle w:val="NormalWeb"/>
        <w:numPr>
          <w:ilvl w:val="0"/>
          <w:numId w:val="9"/>
        </w:numPr>
        <w:shd w:val="clear" w:color="auto" w:fill="FFFFFF"/>
        <w:spacing w:before="0" w:beforeAutospacing="0" w:after="0" w:afterAutospacing="0"/>
        <w:jc w:val="both"/>
        <w:rPr>
          <w:rFonts w:ascii="Arial" w:hAnsi="Arial" w:cs="Arial"/>
          <w:color w:val="000000"/>
          <w:sz w:val="20"/>
          <w:szCs w:val="20"/>
        </w:rPr>
      </w:pPr>
      <w:r w:rsidRPr="000F2782">
        <w:rPr>
          <w:rFonts w:ascii="Arial" w:hAnsi="Arial" w:cs="Arial"/>
          <w:color w:val="000000"/>
          <w:sz w:val="20"/>
          <w:szCs w:val="20"/>
        </w:rPr>
        <w:t>le chèque emploi-service universel préfinancé ;</w:t>
      </w:r>
    </w:p>
    <w:p w14:paraId="5FCD5BAB" w14:textId="77777777" w:rsidR="000F2782" w:rsidRPr="000F2782" w:rsidRDefault="000F2782" w:rsidP="009A6E9C">
      <w:pPr>
        <w:pStyle w:val="NormalWeb"/>
        <w:numPr>
          <w:ilvl w:val="0"/>
          <w:numId w:val="9"/>
        </w:numPr>
        <w:shd w:val="clear" w:color="auto" w:fill="FFFFFF"/>
        <w:spacing w:before="0" w:beforeAutospacing="0" w:after="0" w:afterAutospacing="0"/>
        <w:jc w:val="both"/>
        <w:rPr>
          <w:rFonts w:ascii="Arial" w:hAnsi="Arial" w:cs="Arial"/>
          <w:color w:val="000000"/>
          <w:sz w:val="20"/>
          <w:szCs w:val="20"/>
        </w:rPr>
      </w:pPr>
      <w:r w:rsidRPr="000F2782">
        <w:rPr>
          <w:rFonts w:ascii="Arial" w:hAnsi="Arial" w:cs="Arial"/>
          <w:color w:val="000000"/>
          <w:sz w:val="20"/>
          <w:szCs w:val="20"/>
        </w:rPr>
        <w:t>le chèque d'accompagnement personnalisé ;</w:t>
      </w:r>
    </w:p>
    <w:p w14:paraId="644294B9" w14:textId="77777777" w:rsidR="000F2782" w:rsidRPr="000F2782" w:rsidRDefault="000F2782" w:rsidP="009A6E9C">
      <w:pPr>
        <w:pStyle w:val="NormalWeb"/>
        <w:numPr>
          <w:ilvl w:val="0"/>
          <w:numId w:val="9"/>
        </w:numPr>
        <w:shd w:val="clear" w:color="auto" w:fill="FFFFFF"/>
        <w:spacing w:before="0" w:beforeAutospacing="0" w:after="0" w:afterAutospacing="0"/>
        <w:jc w:val="both"/>
        <w:rPr>
          <w:rFonts w:ascii="Arial" w:hAnsi="Arial" w:cs="Arial"/>
          <w:color w:val="000000"/>
          <w:sz w:val="20"/>
          <w:szCs w:val="20"/>
        </w:rPr>
      </w:pPr>
      <w:r w:rsidRPr="000F2782">
        <w:rPr>
          <w:rFonts w:ascii="Arial" w:hAnsi="Arial" w:cs="Arial"/>
          <w:color w:val="000000"/>
          <w:sz w:val="20"/>
          <w:szCs w:val="20"/>
        </w:rPr>
        <w:t>le chèque-vacances ;</w:t>
      </w:r>
    </w:p>
    <w:p w14:paraId="695062BC" w14:textId="77777777" w:rsidR="000F2782" w:rsidRPr="000F2782" w:rsidRDefault="000F2782" w:rsidP="009A6E9C">
      <w:pPr>
        <w:pStyle w:val="NormalWeb"/>
        <w:numPr>
          <w:ilvl w:val="0"/>
          <w:numId w:val="9"/>
        </w:numPr>
        <w:shd w:val="clear" w:color="auto" w:fill="FFFFFF"/>
        <w:spacing w:before="0" w:beforeAutospacing="0" w:after="0" w:afterAutospacing="0"/>
        <w:jc w:val="both"/>
        <w:rPr>
          <w:rFonts w:ascii="Arial" w:hAnsi="Arial" w:cs="Arial"/>
          <w:color w:val="000000"/>
          <w:sz w:val="20"/>
          <w:szCs w:val="20"/>
        </w:rPr>
      </w:pPr>
      <w:r w:rsidRPr="000F2782">
        <w:rPr>
          <w:rFonts w:ascii="Arial" w:hAnsi="Arial" w:cs="Arial"/>
          <w:color w:val="000000"/>
          <w:sz w:val="20"/>
          <w:szCs w:val="20"/>
        </w:rPr>
        <w:t>le chèque-culture ayant pour objet exclusif de faciliter l'accès de leurs bénéficiaires à des activités ou prestations de nature culturelle et bénéficiant à ce titre d'un régime d'exonération de cotisations et contributions de sécurité sociale ;</w:t>
      </w:r>
    </w:p>
    <w:p w14:paraId="4BE8A4DB" w14:textId="77777777" w:rsidR="000F2782" w:rsidRPr="000F2782" w:rsidRDefault="000F2782" w:rsidP="009A6E9C">
      <w:pPr>
        <w:pStyle w:val="NormalWeb"/>
        <w:numPr>
          <w:ilvl w:val="0"/>
          <w:numId w:val="9"/>
        </w:numPr>
        <w:shd w:val="clear" w:color="auto" w:fill="FFFFFF"/>
        <w:spacing w:before="0" w:beforeAutospacing="0" w:after="0" w:afterAutospacing="0"/>
        <w:jc w:val="both"/>
        <w:rPr>
          <w:rFonts w:ascii="Arial" w:hAnsi="Arial" w:cs="Arial"/>
          <w:color w:val="000000"/>
          <w:sz w:val="20"/>
          <w:szCs w:val="20"/>
        </w:rPr>
      </w:pPr>
      <w:r w:rsidRPr="000F2782">
        <w:rPr>
          <w:rFonts w:ascii="Arial" w:hAnsi="Arial" w:cs="Arial"/>
          <w:color w:val="000000"/>
          <w:sz w:val="20"/>
          <w:szCs w:val="20"/>
        </w:rPr>
        <w:t>les titres-cadeaux et bons d'achat servis par les comités d'entreprise ou les entreprises en l'absence de comité d'entreprise, à l'occasion de certains événements personnels ou familiaux et bénéficiant à ce titre d'un régime d'exonération de cotisations et contributions de sécurité sociale et qui sont utilisables exclusivement pour l'acquisition de biens ou de services à l'intérieur d'un réseau limité de partenaires directement liés contractuellement à un émetteur de titres spéciaux de paiement, ou pour acquérir un éventail limité de biens ou de services auprès de partenaires ;</w:t>
      </w:r>
    </w:p>
    <w:p w14:paraId="3709483D" w14:textId="77777777" w:rsidR="000F2782" w:rsidRPr="000F2782" w:rsidRDefault="000F2782" w:rsidP="009A6E9C">
      <w:pPr>
        <w:pStyle w:val="NormalWeb"/>
        <w:numPr>
          <w:ilvl w:val="0"/>
          <w:numId w:val="9"/>
        </w:numPr>
        <w:shd w:val="clear" w:color="auto" w:fill="FFFFFF"/>
        <w:spacing w:before="0" w:beforeAutospacing="0" w:after="0" w:afterAutospacing="0"/>
        <w:jc w:val="both"/>
        <w:rPr>
          <w:rFonts w:ascii="Arial" w:hAnsi="Arial" w:cs="Arial"/>
          <w:color w:val="000000"/>
          <w:sz w:val="20"/>
          <w:szCs w:val="20"/>
        </w:rPr>
      </w:pPr>
      <w:r w:rsidRPr="000F2782">
        <w:rPr>
          <w:rFonts w:ascii="Arial" w:hAnsi="Arial" w:cs="Arial"/>
          <w:color w:val="000000"/>
          <w:sz w:val="20"/>
          <w:szCs w:val="20"/>
        </w:rPr>
        <w:t>les titres-cadeaux octroyés dans le cadre d'opérations de stimulation et de promotion des ventes et bénéficiant à ce titre d'un régime d'exonération de cotisations et contributions de sécurité sociale et qui sont utilisables exclusivement pour l'acquisition de biens ou de services à l'intérieur d'un réseau limité de partenaires directement liés contractuellement à un émetteur de titres spéciaux de paiement, ou pour acquérir un éventail limité de biens ou de services auprès de partenaires ;</w:t>
      </w:r>
    </w:p>
    <w:p w14:paraId="7A252E76" w14:textId="77777777" w:rsidR="000F2782" w:rsidRPr="000F2782" w:rsidRDefault="000F2782" w:rsidP="009A6E9C">
      <w:pPr>
        <w:numPr>
          <w:ilvl w:val="0"/>
          <w:numId w:val="9"/>
        </w:numPr>
        <w:spacing w:before="0" w:beforeAutospacing="0" w:after="0" w:afterAutospacing="0" w:line="259" w:lineRule="auto"/>
        <w:jc w:val="both"/>
        <w:rPr>
          <w:rFonts w:cs="Arial"/>
          <w:sz w:val="20"/>
        </w:rPr>
      </w:pPr>
      <w:r w:rsidRPr="000F2782">
        <w:rPr>
          <w:rFonts w:cs="Arial"/>
          <w:color w:val="000000"/>
          <w:sz w:val="20"/>
          <w:shd w:val="clear" w:color="auto" w:fill="FFFFFF"/>
        </w:rPr>
        <w:t>le titre-mobilité.</w:t>
      </w:r>
    </w:p>
    <w:p w14:paraId="110B47DF" w14:textId="77777777" w:rsidR="00901FAD" w:rsidRPr="000F2782" w:rsidRDefault="00901FAD" w:rsidP="009A6E9C">
      <w:pPr>
        <w:pStyle w:val="NormalWeb"/>
        <w:spacing w:before="0" w:beforeAutospacing="0" w:after="0" w:afterAutospacing="0"/>
        <w:jc w:val="both"/>
        <w:rPr>
          <w:rFonts w:ascii="Arial" w:hAnsi="Arial" w:cs="Arial"/>
          <w:sz w:val="20"/>
          <w:szCs w:val="20"/>
        </w:rPr>
      </w:pPr>
    </w:p>
    <w:p w14:paraId="75012DFA" w14:textId="1C37B95C" w:rsidR="00901FAD" w:rsidRPr="000F2782" w:rsidRDefault="000F2782" w:rsidP="009A6E9C">
      <w:pPr>
        <w:pStyle w:val="NormalWeb"/>
        <w:spacing w:before="0" w:beforeAutospacing="0" w:after="0" w:afterAutospacing="0"/>
        <w:jc w:val="both"/>
        <w:rPr>
          <w:rFonts w:ascii="Arial" w:hAnsi="Arial" w:cs="Arial"/>
          <w:sz w:val="20"/>
          <w:szCs w:val="20"/>
        </w:rPr>
      </w:pPr>
      <w:r w:rsidRPr="009A6E9C">
        <w:rPr>
          <w:rFonts w:ascii="Arial" w:hAnsi="Arial" w:cs="Arial"/>
          <w:b/>
          <w:sz w:val="20"/>
          <w:szCs w:val="20"/>
        </w:rPr>
        <w:t>I</w:t>
      </w:r>
      <w:r w:rsidR="009A6E9C" w:rsidRPr="009A6E9C">
        <w:rPr>
          <w:rFonts w:ascii="Arial" w:hAnsi="Arial" w:cs="Arial"/>
          <w:b/>
          <w:sz w:val="20"/>
          <w:szCs w:val="20"/>
        </w:rPr>
        <w:t xml:space="preserve">nstruments de </w:t>
      </w:r>
      <w:r w:rsidRPr="009A6E9C">
        <w:rPr>
          <w:rFonts w:ascii="Arial" w:hAnsi="Arial" w:cs="Arial"/>
          <w:b/>
          <w:sz w:val="20"/>
          <w:szCs w:val="20"/>
        </w:rPr>
        <w:t>P</w:t>
      </w:r>
      <w:r w:rsidR="009A6E9C" w:rsidRPr="009A6E9C">
        <w:rPr>
          <w:rFonts w:ascii="Arial" w:hAnsi="Arial" w:cs="Arial"/>
          <w:b/>
          <w:sz w:val="20"/>
          <w:szCs w:val="20"/>
        </w:rPr>
        <w:t xml:space="preserve">aiement </w:t>
      </w:r>
      <w:r w:rsidRPr="009A6E9C">
        <w:rPr>
          <w:rFonts w:ascii="Arial" w:hAnsi="Arial" w:cs="Arial"/>
          <w:b/>
          <w:sz w:val="20"/>
          <w:szCs w:val="20"/>
        </w:rPr>
        <w:t>S</w:t>
      </w:r>
      <w:r w:rsidR="009A6E9C" w:rsidRPr="009A6E9C">
        <w:rPr>
          <w:rFonts w:ascii="Arial" w:hAnsi="Arial" w:cs="Arial"/>
          <w:b/>
          <w:sz w:val="20"/>
          <w:szCs w:val="20"/>
        </w:rPr>
        <w:t>pécifique</w:t>
      </w:r>
      <w:r w:rsidRPr="000F2782">
        <w:rPr>
          <w:rFonts w:ascii="Arial" w:hAnsi="Arial" w:cs="Arial"/>
          <w:sz w:val="20"/>
          <w:szCs w:val="20"/>
        </w:rPr>
        <w:t> :</w:t>
      </w:r>
    </w:p>
    <w:p w14:paraId="6E1586AC" w14:textId="26933CCA" w:rsidR="000F2782" w:rsidRPr="000F2782" w:rsidRDefault="000F2782" w:rsidP="009A6E9C">
      <w:pPr>
        <w:pStyle w:val="NormalWeb"/>
        <w:spacing w:before="0" w:beforeAutospacing="0" w:after="0" w:afterAutospacing="0"/>
        <w:jc w:val="both"/>
        <w:rPr>
          <w:rFonts w:ascii="Arial" w:hAnsi="Arial" w:cs="Arial"/>
          <w:sz w:val="20"/>
          <w:szCs w:val="20"/>
        </w:rPr>
      </w:pPr>
    </w:p>
    <w:p w14:paraId="5BD04D54" w14:textId="77777777" w:rsidR="000F2782" w:rsidRPr="000F2782" w:rsidRDefault="000F2782" w:rsidP="009A6E9C">
      <w:pPr>
        <w:spacing w:before="0" w:beforeAutospacing="0" w:after="0" w:afterAutospacing="0"/>
        <w:jc w:val="both"/>
        <w:rPr>
          <w:rFonts w:cs="Arial"/>
          <w:sz w:val="20"/>
        </w:rPr>
      </w:pPr>
      <w:r w:rsidRPr="000F2782">
        <w:rPr>
          <w:rFonts w:cs="Arial"/>
          <w:sz w:val="20"/>
        </w:rPr>
        <w:t>L’article L. 521-3-2 renvoie à un arrêté le soin de fixer la liste des instruments de paiement spécifique (IPS). Il s’agit de l‘arrêté du 4 juin 2018, étendu dans les COM par un autre arrêté du 2 février 2022 qui vise :</w:t>
      </w:r>
    </w:p>
    <w:p w14:paraId="61337FE8" w14:textId="77777777" w:rsidR="000F2782" w:rsidRPr="000F2782" w:rsidRDefault="000F2782" w:rsidP="009A6E9C">
      <w:pPr>
        <w:pStyle w:val="NormalWeb"/>
        <w:shd w:val="clear" w:color="auto" w:fill="FFFFFF"/>
        <w:spacing w:before="0" w:beforeAutospacing="0" w:after="0" w:afterAutospacing="0"/>
        <w:jc w:val="both"/>
        <w:rPr>
          <w:rFonts w:ascii="Arial" w:hAnsi="Arial" w:cs="Arial"/>
          <w:color w:val="000000"/>
          <w:sz w:val="20"/>
          <w:szCs w:val="20"/>
        </w:rPr>
      </w:pPr>
    </w:p>
    <w:p w14:paraId="0FBED2CE" w14:textId="77777777" w:rsidR="000F2782" w:rsidRPr="000F2782" w:rsidRDefault="000F2782" w:rsidP="009A6E9C">
      <w:pPr>
        <w:pStyle w:val="NormalWeb"/>
        <w:numPr>
          <w:ilvl w:val="0"/>
          <w:numId w:val="9"/>
        </w:numPr>
        <w:shd w:val="clear" w:color="auto" w:fill="FFFFFF"/>
        <w:spacing w:before="0" w:beforeAutospacing="0" w:after="0" w:afterAutospacing="0"/>
        <w:jc w:val="both"/>
        <w:rPr>
          <w:rFonts w:ascii="Arial" w:hAnsi="Arial" w:cs="Arial"/>
          <w:sz w:val="20"/>
          <w:szCs w:val="20"/>
        </w:rPr>
      </w:pPr>
      <w:r w:rsidRPr="000F2782">
        <w:rPr>
          <w:rFonts w:ascii="Arial" w:hAnsi="Arial" w:cs="Arial"/>
          <w:color w:val="000000"/>
          <w:sz w:val="20"/>
          <w:szCs w:val="20"/>
        </w:rPr>
        <w:t>le titre-restaurant ;</w:t>
      </w:r>
    </w:p>
    <w:p w14:paraId="26A9F56A" w14:textId="77777777" w:rsidR="000F2782" w:rsidRPr="000F2782" w:rsidRDefault="000F2782" w:rsidP="009A6E9C">
      <w:pPr>
        <w:pStyle w:val="NormalWeb"/>
        <w:numPr>
          <w:ilvl w:val="0"/>
          <w:numId w:val="9"/>
        </w:numPr>
        <w:shd w:val="clear" w:color="auto" w:fill="FFFFFF"/>
        <w:spacing w:before="0" w:beforeAutospacing="0" w:after="0" w:afterAutospacing="0"/>
        <w:jc w:val="both"/>
        <w:rPr>
          <w:rFonts w:ascii="Arial" w:hAnsi="Arial" w:cs="Arial"/>
          <w:color w:val="000000"/>
          <w:sz w:val="20"/>
          <w:szCs w:val="20"/>
        </w:rPr>
      </w:pPr>
      <w:r w:rsidRPr="000F2782">
        <w:rPr>
          <w:rFonts w:ascii="Arial" w:hAnsi="Arial" w:cs="Arial"/>
          <w:color w:val="000000"/>
          <w:sz w:val="20"/>
          <w:szCs w:val="20"/>
        </w:rPr>
        <w:t>le chèque-repas du bénévole ;</w:t>
      </w:r>
    </w:p>
    <w:p w14:paraId="6138AF69" w14:textId="77777777" w:rsidR="000F2782" w:rsidRPr="000F2782" w:rsidRDefault="000F2782" w:rsidP="009A6E9C">
      <w:pPr>
        <w:pStyle w:val="NormalWeb"/>
        <w:numPr>
          <w:ilvl w:val="0"/>
          <w:numId w:val="9"/>
        </w:numPr>
        <w:shd w:val="clear" w:color="auto" w:fill="FFFFFF"/>
        <w:spacing w:before="0" w:beforeAutospacing="0" w:after="0" w:afterAutospacing="0"/>
        <w:jc w:val="both"/>
        <w:rPr>
          <w:rFonts w:ascii="Arial" w:hAnsi="Arial" w:cs="Arial"/>
          <w:color w:val="000000"/>
          <w:sz w:val="20"/>
          <w:szCs w:val="20"/>
        </w:rPr>
      </w:pPr>
      <w:r w:rsidRPr="000F2782">
        <w:rPr>
          <w:rFonts w:ascii="Arial" w:hAnsi="Arial" w:cs="Arial"/>
          <w:color w:val="000000"/>
          <w:sz w:val="20"/>
          <w:szCs w:val="20"/>
        </w:rPr>
        <w:t>le titre-repas du volontaire ;</w:t>
      </w:r>
    </w:p>
    <w:p w14:paraId="56AE290F" w14:textId="77777777" w:rsidR="000F2782" w:rsidRPr="000F2782" w:rsidRDefault="000F2782" w:rsidP="009A6E9C">
      <w:pPr>
        <w:pStyle w:val="NormalWeb"/>
        <w:numPr>
          <w:ilvl w:val="0"/>
          <w:numId w:val="9"/>
        </w:numPr>
        <w:shd w:val="clear" w:color="auto" w:fill="FFFFFF"/>
        <w:spacing w:before="0" w:beforeAutospacing="0" w:after="0" w:afterAutospacing="0"/>
        <w:jc w:val="both"/>
        <w:rPr>
          <w:rFonts w:ascii="Arial" w:hAnsi="Arial" w:cs="Arial"/>
          <w:color w:val="000000"/>
          <w:sz w:val="20"/>
          <w:szCs w:val="20"/>
        </w:rPr>
      </w:pPr>
      <w:r w:rsidRPr="000F2782">
        <w:rPr>
          <w:rFonts w:ascii="Arial" w:hAnsi="Arial" w:cs="Arial"/>
          <w:color w:val="000000"/>
          <w:sz w:val="20"/>
          <w:szCs w:val="20"/>
        </w:rPr>
        <w:t>le chèque emploi-service universel préfinancé ;</w:t>
      </w:r>
    </w:p>
    <w:p w14:paraId="7269FD16" w14:textId="77777777" w:rsidR="000F2782" w:rsidRPr="000F2782" w:rsidRDefault="000F2782" w:rsidP="009A6E9C">
      <w:pPr>
        <w:pStyle w:val="NormalWeb"/>
        <w:numPr>
          <w:ilvl w:val="0"/>
          <w:numId w:val="9"/>
        </w:numPr>
        <w:shd w:val="clear" w:color="auto" w:fill="FFFFFF"/>
        <w:spacing w:before="0" w:beforeAutospacing="0" w:after="0" w:afterAutospacing="0"/>
        <w:jc w:val="both"/>
        <w:rPr>
          <w:rFonts w:ascii="Arial" w:hAnsi="Arial" w:cs="Arial"/>
          <w:color w:val="000000"/>
          <w:sz w:val="20"/>
          <w:szCs w:val="20"/>
        </w:rPr>
      </w:pPr>
      <w:r w:rsidRPr="000F2782">
        <w:rPr>
          <w:rFonts w:ascii="Arial" w:hAnsi="Arial" w:cs="Arial"/>
          <w:color w:val="000000"/>
          <w:sz w:val="20"/>
          <w:szCs w:val="20"/>
        </w:rPr>
        <w:lastRenderedPageBreak/>
        <w:t>le chèque d'accompagnement personnalisé ;</w:t>
      </w:r>
    </w:p>
    <w:p w14:paraId="671F309F" w14:textId="77777777" w:rsidR="000F2782" w:rsidRPr="000F2782" w:rsidRDefault="000F2782" w:rsidP="009A6E9C">
      <w:pPr>
        <w:pStyle w:val="NormalWeb"/>
        <w:numPr>
          <w:ilvl w:val="0"/>
          <w:numId w:val="9"/>
        </w:numPr>
        <w:shd w:val="clear" w:color="auto" w:fill="FFFFFF"/>
        <w:spacing w:before="0" w:beforeAutospacing="0" w:after="0" w:afterAutospacing="0"/>
        <w:jc w:val="both"/>
        <w:rPr>
          <w:rFonts w:ascii="Arial" w:hAnsi="Arial" w:cs="Arial"/>
          <w:color w:val="000000"/>
          <w:sz w:val="20"/>
          <w:szCs w:val="20"/>
        </w:rPr>
      </w:pPr>
      <w:r w:rsidRPr="000F2782">
        <w:rPr>
          <w:rFonts w:ascii="Arial" w:hAnsi="Arial" w:cs="Arial"/>
          <w:color w:val="000000"/>
          <w:sz w:val="20"/>
          <w:szCs w:val="20"/>
        </w:rPr>
        <w:t>le chèque-vacances ;</w:t>
      </w:r>
    </w:p>
    <w:p w14:paraId="329938E0" w14:textId="77777777" w:rsidR="000F2782" w:rsidRPr="000F2782" w:rsidRDefault="000F2782" w:rsidP="009A6E9C">
      <w:pPr>
        <w:pStyle w:val="NormalWeb"/>
        <w:numPr>
          <w:ilvl w:val="0"/>
          <w:numId w:val="9"/>
        </w:numPr>
        <w:shd w:val="clear" w:color="auto" w:fill="FFFFFF"/>
        <w:spacing w:before="0" w:beforeAutospacing="0" w:after="0" w:afterAutospacing="0"/>
        <w:jc w:val="both"/>
        <w:rPr>
          <w:rFonts w:ascii="Arial" w:hAnsi="Arial" w:cs="Arial"/>
          <w:color w:val="000000"/>
          <w:sz w:val="20"/>
          <w:szCs w:val="20"/>
        </w:rPr>
      </w:pPr>
      <w:r w:rsidRPr="000F2782">
        <w:rPr>
          <w:rFonts w:ascii="Arial" w:hAnsi="Arial" w:cs="Arial"/>
          <w:color w:val="000000"/>
          <w:sz w:val="20"/>
          <w:szCs w:val="20"/>
        </w:rPr>
        <w:t>le chèque-culture ayant pour objet exclusif de faciliter l'accès de leurs bénéficiaires à des activités ou prestations de nature culturelle et bénéficiant à ce titre d'un régime d'exonération de cotisations et contributions de sécurité sociale ;</w:t>
      </w:r>
    </w:p>
    <w:p w14:paraId="3B27BF8B" w14:textId="77777777" w:rsidR="000F2782" w:rsidRPr="000F2782" w:rsidRDefault="000F2782" w:rsidP="00C26BA3">
      <w:pPr>
        <w:pStyle w:val="NormalWeb"/>
        <w:numPr>
          <w:ilvl w:val="0"/>
          <w:numId w:val="9"/>
        </w:numPr>
        <w:shd w:val="clear" w:color="auto" w:fill="FFFFFF"/>
        <w:spacing w:before="0" w:beforeAutospacing="0" w:after="0" w:afterAutospacing="0"/>
        <w:ind w:left="714" w:hanging="357"/>
        <w:jc w:val="both"/>
        <w:rPr>
          <w:rFonts w:ascii="Arial" w:hAnsi="Arial" w:cs="Arial"/>
          <w:color w:val="000000"/>
          <w:sz w:val="20"/>
          <w:szCs w:val="20"/>
        </w:rPr>
      </w:pPr>
      <w:r w:rsidRPr="000F2782">
        <w:rPr>
          <w:rFonts w:ascii="Arial" w:hAnsi="Arial" w:cs="Arial"/>
          <w:color w:val="000000"/>
          <w:sz w:val="20"/>
          <w:szCs w:val="20"/>
        </w:rPr>
        <w:t>les titres-cadeaux et bons d'achat servis par les comités sociaux et économiques ou les entreprises en l'absence de comité social et économique, à l'occasion de certains événements personnels ou familiaux et bénéficiant à ce titre d'un régime d'exonération de cotisations et contributions de sécurité sociale et qui sont utilisables conformément aux dispositions de l'article L. 521-3-2 ;</w:t>
      </w:r>
    </w:p>
    <w:p w14:paraId="7EEC0CFC" w14:textId="77777777" w:rsidR="000F2782" w:rsidRPr="000F2782" w:rsidRDefault="000F2782" w:rsidP="009A6E9C">
      <w:pPr>
        <w:pStyle w:val="NormalWeb"/>
        <w:numPr>
          <w:ilvl w:val="0"/>
          <w:numId w:val="9"/>
        </w:numPr>
        <w:shd w:val="clear" w:color="auto" w:fill="FFFFFF"/>
        <w:spacing w:before="0" w:beforeAutospacing="0" w:after="0" w:afterAutospacing="0"/>
        <w:jc w:val="both"/>
        <w:rPr>
          <w:rFonts w:ascii="Arial" w:hAnsi="Arial" w:cs="Arial"/>
          <w:color w:val="000000"/>
          <w:sz w:val="20"/>
          <w:szCs w:val="20"/>
        </w:rPr>
      </w:pPr>
      <w:r w:rsidRPr="000F2782">
        <w:rPr>
          <w:rFonts w:ascii="Arial" w:hAnsi="Arial" w:cs="Arial"/>
          <w:color w:val="000000"/>
          <w:sz w:val="20"/>
          <w:szCs w:val="20"/>
        </w:rPr>
        <w:t>les titres-cadeaux octroyés dans le cadre d'opérations de stimulation et de promotion des ventes et bénéficiant à ce titre d'un régime d'exonération de cotisations et contributions de sécurité sociale et qui sont utilisables conformément aux dispositions de l'article L. 521-3-2 ;</w:t>
      </w:r>
    </w:p>
    <w:p w14:paraId="40BB296A" w14:textId="77777777" w:rsidR="000F2782" w:rsidRPr="000F2782" w:rsidRDefault="000F2782" w:rsidP="009A6E9C">
      <w:pPr>
        <w:pStyle w:val="NormalWeb"/>
        <w:numPr>
          <w:ilvl w:val="0"/>
          <w:numId w:val="9"/>
        </w:numPr>
        <w:shd w:val="clear" w:color="auto" w:fill="FFFFFF"/>
        <w:spacing w:before="0" w:beforeAutospacing="0" w:after="0" w:afterAutospacing="0"/>
        <w:jc w:val="both"/>
        <w:rPr>
          <w:rFonts w:ascii="Arial" w:hAnsi="Arial" w:cs="Arial"/>
          <w:color w:val="000000"/>
          <w:sz w:val="20"/>
          <w:szCs w:val="20"/>
        </w:rPr>
      </w:pPr>
      <w:r w:rsidRPr="000F2782">
        <w:rPr>
          <w:rFonts w:ascii="Arial" w:hAnsi="Arial" w:cs="Arial"/>
          <w:color w:val="000000"/>
          <w:sz w:val="20"/>
          <w:szCs w:val="20"/>
        </w:rPr>
        <w:t>Le titre-mobilité.</w:t>
      </w:r>
    </w:p>
    <w:p w14:paraId="6730A9BD" w14:textId="77777777" w:rsidR="000F2782" w:rsidRPr="000F2782" w:rsidRDefault="000F2782" w:rsidP="009A6E9C">
      <w:pPr>
        <w:pStyle w:val="NormalWeb"/>
        <w:shd w:val="clear" w:color="auto" w:fill="FFFFFF"/>
        <w:spacing w:before="0" w:beforeAutospacing="0" w:after="0" w:afterAutospacing="0"/>
        <w:jc w:val="both"/>
        <w:rPr>
          <w:rFonts w:ascii="Arial" w:hAnsi="Arial" w:cs="Arial"/>
          <w:color w:val="000000"/>
          <w:sz w:val="20"/>
          <w:szCs w:val="20"/>
        </w:rPr>
      </w:pPr>
    </w:p>
    <w:p w14:paraId="798FDFE8" w14:textId="292945E1" w:rsidR="000F2782" w:rsidRPr="000F2782" w:rsidRDefault="000F2782" w:rsidP="009A6E9C">
      <w:pPr>
        <w:pStyle w:val="NormalWeb"/>
        <w:spacing w:before="0" w:beforeAutospacing="0" w:after="0" w:afterAutospacing="0"/>
        <w:jc w:val="both"/>
        <w:rPr>
          <w:rFonts w:ascii="Arial" w:hAnsi="Arial" w:cs="Arial"/>
          <w:sz w:val="20"/>
          <w:szCs w:val="20"/>
        </w:rPr>
      </w:pPr>
      <w:r w:rsidRPr="009A6E9C">
        <w:rPr>
          <w:rFonts w:ascii="Arial" w:hAnsi="Arial" w:cs="Arial"/>
          <w:b/>
          <w:sz w:val="20"/>
          <w:szCs w:val="20"/>
        </w:rPr>
        <w:t>C</w:t>
      </w:r>
      <w:r w:rsidR="009A6E9C" w:rsidRPr="009A6E9C">
        <w:rPr>
          <w:rFonts w:ascii="Arial" w:hAnsi="Arial" w:cs="Arial"/>
          <w:b/>
          <w:sz w:val="20"/>
          <w:szCs w:val="20"/>
        </w:rPr>
        <w:t xml:space="preserve">hèques </w:t>
      </w:r>
      <w:r w:rsidRPr="009A6E9C">
        <w:rPr>
          <w:rFonts w:ascii="Arial" w:hAnsi="Arial" w:cs="Arial"/>
          <w:b/>
          <w:sz w:val="20"/>
          <w:szCs w:val="20"/>
        </w:rPr>
        <w:t>E</w:t>
      </w:r>
      <w:r w:rsidR="009A6E9C" w:rsidRPr="009A6E9C">
        <w:rPr>
          <w:rFonts w:ascii="Arial" w:hAnsi="Arial" w:cs="Arial"/>
          <w:b/>
          <w:sz w:val="20"/>
          <w:szCs w:val="20"/>
        </w:rPr>
        <w:t xml:space="preserve">mploi </w:t>
      </w:r>
      <w:r w:rsidRPr="009A6E9C">
        <w:rPr>
          <w:rFonts w:ascii="Arial" w:hAnsi="Arial" w:cs="Arial"/>
          <w:b/>
          <w:sz w:val="20"/>
          <w:szCs w:val="20"/>
        </w:rPr>
        <w:t>S</w:t>
      </w:r>
      <w:r w:rsidR="009A6E9C" w:rsidRPr="009A6E9C">
        <w:rPr>
          <w:rFonts w:ascii="Arial" w:hAnsi="Arial" w:cs="Arial"/>
          <w:b/>
          <w:sz w:val="20"/>
          <w:szCs w:val="20"/>
        </w:rPr>
        <w:t xml:space="preserve">ervice </w:t>
      </w:r>
      <w:r w:rsidRPr="009A6E9C">
        <w:rPr>
          <w:rFonts w:ascii="Arial" w:hAnsi="Arial" w:cs="Arial"/>
          <w:b/>
          <w:sz w:val="20"/>
          <w:szCs w:val="20"/>
        </w:rPr>
        <w:t>U</w:t>
      </w:r>
      <w:r w:rsidR="009A6E9C" w:rsidRPr="009A6E9C">
        <w:rPr>
          <w:rFonts w:ascii="Arial" w:hAnsi="Arial" w:cs="Arial"/>
          <w:b/>
          <w:sz w:val="20"/>
          <w:szCs w:val="20"/>
        </w:rPr>
        <w:t xml:space="preserve">niversel </w:t>
      </w:r>
      <w:r w:rsidRPr="009A6E9C">
        <w:rPr>
          <w:rFonts w:ascii="Arial" w:hAnsi="Arial" w:cs="Arial"/>
          <w:b/>
          <w:sz w:val="20"/>
          <w:szCs w:val="20"/>
        </w:rPr>
        <w:t>préfinancés</w:t>
      </w:r>
      <w:r w:rsidRPr="000F2782">
        <w:rPr>
          <w:rFonts w:ascii="Arial" w:hAnsi="Arial" w:cs="Arial"/>
          <w:sz w:val="20"/>
          <w:szCs w:val="20"/>
        </w:rPr>
        <w:t> :</w:t>
      </w:r>
    </w:p>
    <w:p w14:paraId="2831EE81" w14:textId="26580996" w:rsidR="000F2782" w:rsidRPr="000F2782" w:rsidRDefault="000F2782" w:rsidP="009A6E9C">
      <w:pPr>
        <w:pStyle w:val="NormalWeb"/>
        <w:spacing w:before="0" w:beforeAutospacing="0" w:after="0" w:afterAutospacing="0"/>
        <w:jc w:val="both"/>
        <w:rPr>
          <w:rFonts w:ascii="Arial" w:hAnsi="Arial" w:cs="Arial"/>
          <w:sz w:val="20"/>
          <w:szCs w:val="20"/>
        </w:rPr>
      </w:pPr>
    </w:p>
    <w:p w14:paraId="64E065F9" w14:textId="43EE9F39" w:rsidR="000F2782" w:rsidRPr="000F2782" w:rsidRDefault="000F2782" w:rsidP="009A6E9C">
      <w:pPr>
        <w:spacing w:before="0" w:beforeAutospacing="0" w:after="0" w:afterAutospacing="0"/>
        <w:jc w:val="both"/>
        <w:rPr>
          <w:rFonts w:cs="Arial"/>
          <w:sz w:val="20"/>
        </w:rPr>
      </w:pPr>
      <w:r w:rsidRPr="000F2782">
        <w:rPr>
          <w:rFonts w:cs="Arial"/>
          <w:sz w:val="20"/>
        </w:rPr>
        <w:t>Le chèque emploi service universel préfinancé (CESU) est un titre spécial de paiement mentionné au B de l’article L. 1271-1 du code du travail (</w:t>
      </w:r>
      <w:r w:rsidRPr="000F2782">
        <w:rPr>
          <w:rFonts w:cs="Arial"/>
          <w:bCs/>
          <w:sz w:val="20"/>
        </w:rPr>
        <w:t xml:space="preserve">Article </w:t>
      </w:r>
      <w:proofErr w:type="spellStart"/>
      <w:r w:rsidRPr="000F2782">
        <w:rPr>
          <w:rFonts w:cs="Arial"/>
          <w:bCs/>
          <w:sz w:val="20"/>
        </w:rPr>
        <w:t>Lp</w:t>
      </w:r>
      <w:proofErr w:type="spellEnd"/>
      <w:r w:rsidRPr="000F2782">
        <w:rPr>
          <w:rFonts w:cs="Arial"/>
          <w:bCs/>
          <w:sz w:val="20"/>
        </w:rPr>
        <w:t xml:space="preserve">. 125-10 du Code du travail de Nouvelle-Calédonie et </w:t>
      </w:r>
      <w:r w:rsidRPr="000F2782">
        <w:rPr>
          <w:rFonts w:cs="Arial"/>
          <w:sz w:val="20"/>
        </w:rPr>
        <w:t xml:space="preserve">Articles </w:t>
      </w:r>
      <w:proofErr w:type="spellStart"/>
      <w:r w:rsidRPr="000F2782">
        <w:rPr>
          <w:rFonts w:cs="Arial"/>
          <w:sz w:val="20"/>
        </w:rPr>
        <w:t>Lp</w:t>
      </w:r>
      <w:proofErr w:type="spellEnd"/>
      <w:r w:rsidRPr="000F2782">
        <w:rPr>
          <w:rFonts w:cs="Arial"/>
          <w:sz w:val="20"/>
        </w:rPr>
        <w:t xml:space="preserve">. 1234-1 à </w:t>
      </w:r>
      <w:proofErr w:type="spellStart"/>
      <w:r w:rsidRPr="000F2782">
        <w:rPr>
          <w:rFonts w:cs="Arial"/>
          <w:sz w:val="20"/>
        </w:rPr>
        <w:t>Lp</w:t>
      </w:r>
      <w:proofErr w:type="spellEnd"/>
      <w:r w:rsidRPr="000F2782">
        <w:rPr>
          <w:rFonts w:cs="Arial"/>
          <w:sz w:val="20"/>
        </w:rPr>
        <w:t xml:space="preserve">. 1234-14 du code du travail de Polynésie française). Selon l’article D. 1271-7 du code du travail (articles R. 125-1 et s. en Nouvelle-Calédonie et il n’existe pas de disposition réglementaire en Polynésie française), le titre spécial de paiement mentionné au B de l’article L. 1271-1 </w:t>
      </w:r>
      <w:r w:rsidR="009D71F2">
        <w:rPr>
          <w:rFonts w:cs="Arial"/>
          <w:sz w:val="20"/>
        </w:rPr>
        <w:t xml:space="preserve">du code du travail </w:t>
      </w:r>
      <w:r w:rsidRPr="000F2782">
        <w:rPr>
          <w:rFonts w:cs="Arial"/>
          <w:sz w:val="20"/>
        </w:rPr>
        <w:t xml:space="preserve">est émis sur support papier ou sous forme dématérialisée, conformément aux dispositions de l’article D. 1271-4. </w:t>
      </w:r>
    </w:p>
    <w:p w14:paraId="0FB4F034" w14:textId="422A8D59" w:rsidR="000F2782" w:rsidRDefault="000F2782" w:rsidP="009A6E9C">
      <w:pPr>
        <w:autoSpaceDE w:val="0"/>
        <w:autoSpaceDN w:val="0"/>
        <w:adjustRightInd w:val="0"/>
        <w:spacing w:before="0" w:beforeAutospacing="0" w:after="0" w:afterAutospacing="0"/>
        <w:jc w:val="both"/>
        <w:rPr>
          <w:rFonts w:cs="Arial"/>
          <w:sz w:val="20"/>
        </w:rPr>
      </w:pPr>
    </w:p>
    <w:p w14:paraId="0F484ED0" w14:textId="77777777" w:rsidR="006870C6" w:rsidRPr="000F2782" w:rsidRDefault="006870C6" w:rsidP="009A6E9C">
      <w:pPr>
        <w:autoSpaceDE w:val="0"/>
        <w:autoSpaceDN w:val="0"/>
        <w:adjustRightInd w:val="0"/>
        <w:spacing w:before="0" w:beforeAutospacing="0" w:after="0" w:afterAutospacing="0"/>
        <w:jc w:val="both"/>
        <w:rPr>
          <w:rFonts w:cs="Arial"/>
          <w:sz w:val="20"/>
        </w:rPr>
      </w:pPr>
    </w:p>
    <w:p w14:paraId="2B6FC033" w14:textId="1731AD23" w:rsidR="000F2782" w:rsidRPr="000F2782" w:rsidRDefault="009D71F2" w:rsidP="009A6E9C">
      <w:pPr>
        <w:spacing w:before="0" w:beforeAutospacing="0" w:after="0" w:afterAutospacing="0"/>
        <w:jc w:val="both"/>
        <w:rPr>
          <w:rFonts w:cs="Arial"/>
          <w:b/>
          <w:sz w:val="20"/>
        </w:rPr>
      </w:pPr>
      <w:r>
        <w:rPr>
          <w:rFonts w:cs="Arial"/>
          <w:b/>
          <w:sz w:val="20"/>
        </w:rPr>
        <w:t xml:space="preserve">C’est l’entreprise émettrice de TSPD, IPS ou </w:t>
      </w:r>
      <w:r w:rsidR="000F2782" w:rsidRPr="000F2782">
        <w:rPr>
          <w:rFonts w:cs="Arial"/>
          <w:b/>
          <w:sz w:val="20"/>
        </w:rPr>
        <w:t>titres CESU</w:t>
      </w:r>
      <w:r w:rsidR="00297330">
        <w:rPr>
          <w:rFonts w:cs="Arial"/>
          <w:b/>
          <w:sz w:val="20"/>
        </w:rPr>
        <w:t xml:space="preserve"> </w:t>
      </w:r>
      <w:r w:rsidR="00297330" w:rsidRPr="00297330">
        <w:rPr>
          <w:rFonts w:cs="Arial"/>
          <w:b/>
          <w:i/>
          <w:color w:val="0070C0"/>
          <w:sz w:val="20"/>
        </w:rPr>
        <w:t>(appelée le « déclarant »)</w:t>
      </w:r>
      <w:r w:rsidR="000F2782" w:rsidRPr="00297330">
        <w:rPr>
          <w:rFonts w:cs="Arial"/>
          <w:b/>
          <w:color w:val="0070C0"/>
          <w:sz w:val="20"/>
        </w:rPr>
        <w:t xml:space="preserve"> </w:t>
      </w:r>
      <w:r w:rsidR="000F2782" w:rsidRPr="000F2782">
        <w:rPr>
          <w:rFonts w:cs="Arial"/>
          <w:b/>
          <w:sz w:val="20"/>
        </w:rPr>
        <w:t xml:space="preserve">qui déclare les stocks et flux de paiement réalisés par les </w:t>
      </w:r>
      <w:r>
        <w:rPr>
          <w:rFonts w:cs="Arial"/>
          <w:b/>
          <w:sz w:val="20"/>
        </w:rPr>
        <w:t xml:space="preserve">instruments ou </w:t>
      </w:r>
      <w:r w:rsidR="000F2782" w:rsidRPr="000F2782">
        <w:rPr>
          <w:rFonts w:cs="Arial"/>
          <w:b/>
          <w:sz w:val="20"/>
        </w:rPr>
        <w:t xml:space="preserve">titres qu’elle émet. </w:t>
      </w:r>
      <w:r w:rsidR="000F2782" w:rsidRPr="000F2782">
        <w:rPr>
          <w:rFonts w:cs="Arial"/>
          <w:sz w:val="20"/>
        </w:rPr>
        <w:t>Si cette entreprise confie le traitement</w:t>
      </w:r>
      <w:r w:rsidR="000F2782" w:rsidRPr="000F2782">
        <w:rPr>
          <w:rFonts w:ascii="Tahoma" w:hAnsi="Tahoma" w:cs="Tahoma"/>
          <w:b/>
        </w:rPr>
        <w:t xml:space="preserve"> </w:t>
      </w:r>
      <w:r w:rsidR="000F2782" w:rsidRPr="000F2782">
        <w:rPr>
          <w:rFonts w:cs="Arial"/>
          <w:sz w:val="20"/>
        </w:rPr>
        <w:t>de ses opérations à un autre établissement</w:t>
      </w:r>
      <w:r w:rsidR="00297330">
        <w:rPr>
          <w:rFonts w:cs="Arial"/>
          <w:sz w:val="20"/>
        </w:rPr>
        <w:t xml:space="preserve"> </w:t>
      </w:r>
      <w:r w:rsidR="00297330">
        <w:rPr>
          <w:rFonts w:cs="Arial"/>
          <w:i/>
          <w:color w:val="0070C0"/>
          <w:sz w:val="20"/>
        </w:rPr>
        <w:t xml:space="preserve">(appelé le </w:t>
      </w:r>
      <w:r w:rsidR="00BE10F9">
        <w:rPr>
          <w:rFonts w:cs="Arial"/>
          <w:i/>
          <w:color w:val="0070C0"/>
          <w:sz w:val="20"/>
        </w:rPr>
        <w:t>« </w:t>
      </w:r>
      <w:r w:rsidR="00297330">
        <w:rPr>
          <w:rFonts w:cs="Arial"/>
          <w:i/>
          <w:color w:val="0070C0"/>
          <w:sz w:val="20"/>
        </w:rPr>
        <w:t>déclarant »)</w:t>
      </w:r>
      <w:r w:rsidR="000F2782" w:rsidRPr="000F2782">
        <w:rPr>
          <w:rFonts w:cs="Arial"/>
          <w:sz w:val="20"/>
        </w:rPr>
        <w:t>, notamment dans le cas des titres dématérialisés, elle doit avoir connaissance des modalités de traitement de ses opérations pour être en mesure de répondre correctement aux différentes rubriques du présent questionnaire. Le cas échéant, elle se fait communiquer les informations nécessaires par le prestataire qui prend en charge le traitement de ses opérations. À défaut de données réelles, elle devra fournir des données estimées et en faire état dans les parties du questionnaire permettant de commenter les réponses apportées, en précisant la méthode d’estimation utilisée.</w:t>
      </w:r>
    </w:p>
    <w:p w14:paraId="1A7498F6" w14:textId="71C739BF" w:rsidR="000F2782" w:rsidRPr="000F2782" w:rsidRDefault="000F2782" w:rsidP="009A6E9C">
      <w:pPr>
        <w:pStyle w:val="NormalWeb"/>
        <w:spacing w:before="0" w:beforeAutospacing="0" w:after="0" w:afterAutospacing="0"/>
        <w:jc w:val="both"/>
        <w:rPr>
          <w:rFonts w:ascii="Arial" w:hAnsi="Arial" w:cs="Arial"/>
          <w:sz w:val="20"/>
          <w:szCs w:val="20"/>
        </w:rPr>
      </w:pPr>
    </w:p>
    <w:p w14:paraId="188F6867" w14:textId="645EF2B8" w:rsidR="002B70A6" w:rsidRDefault="002B70A6" w:rsidP="00C26BA3">
      <w:pPr>
        <w:pStyle w:val="Titre2"/>
        <w:ind w:left="567"/>
      </w:pPr>
      <w:bookmarkStart w:id="13" w:name="_Toc158133137"/>
      <w:r>
        <w:t>Contacts</w:t>
      </w:r>
      <w:r w:rsidR="00F3550E">
        <w:t>, modalité technique de transmission</w:t>
      </w:r>
      <w:r>
        <w:t xml:space="preserve"> </w:t>
      </w:r>
      <w:r w:rsidR="00D87FC3">
        <w:t xml:space="preserve">de la déclaration </w:t>
      </w:r>
      <w:r>
        <w:t>et calendrier de la collecte TSPD, IPS et CESU de l’IEOM</w:t>
      </w:r>
      <w:bookmarkEnd w:id="13"/>
    </w:p>
    <w:p w14:paraId="3AA4843F" w14:textId="3841EA6C" w:rsidR="000A4FC4" w:rsidRDefault="000A4FC4" w:rsidP="002B70A6">
      <w:pPr>
        <w:autoSpaceDE w:val="0"/>
        <w:autoSpaceDN w:val="0"/>
        <w:adjustRightInd w:val="0"/>
        <w:spacing w:before="0" w:beforeAutospacing="0" w:after="0" w:afterAutospacing="0"/>
        <w:jc w:val="both"/>
        <w:rPr>
          <w:rFonts w:cs="Arial"/>
          <w:sz w:val="20"/>
        </w:rPr>
      </w:pPr>
      <w:r>
        <w:rPr>
          <w:rFonts w:cs="Arial"/>
          <w:sz w:val="20"/>
        </w:rPr>
        <w:t xml:space="preserve">La fréquence de remise diffère selon les </w:t>
      </w:r>
      <w:r w:rsidR="007E71CE">
        <w:rPr>
          <w:rFonts w:cs="Arial"/>
          <w:sz w:val="20"/>
        </w:rPr>
        <w:t>volets de la collecte :</w:t>
      </w:r>
    </w:p>
    <w:p w14:paraId="4A27EB0E" w14:textId="77777777" w:rsidR="000A4FC4" w:rsidRDefault="000A4FC4" w:rsidP="002B70A6">
      <w:pPr>
        <w:autoSpaceDE w:val="0"/>
        <w:autoSpaceDN w:val="0"/>
        <w:adjustRightInd w:val="0"/>
        <w:spacing w:before="0" w:beforeAutospacing="0" w:after="0" w:afterAutospacing="0"/>
        <w:jc w:val="both"/>
        <w:rPr>
          <w:rFonts w:cs="Arial"/>
          <w:sz w:val="20"/>
        </w:rPr>
      </w:pPr>
    </w:p>
    <w:p w14:paraId="56E4065C" w14:textId="27AEC800" w:rsidR="002B70A6" w:rsidRPr="007813B8" w:rsidRDefault="000A4FC4" w:rsidP="007E71CE">
      <w:pPr>
        <w:pStyle w:val="Paragraphedeliste"/>
        <w:numPr>
          <w:ilvl w:val="0"/>
          <w:numId w:val="9"/>
        </w:numPr>
        <w:autoSpaceDE w:val="0"/>
        <w:autoSpaceDN w:val="0"/>
        <w:adjustRightInd w:val="0"/>
        <w:spacing w:before="0" w:beforeAutospacing="0" w:after="0" w:afterAutospacing="0"/>
        <w:jc w:val="both"/>
        <w:rPr>
          <w:rFonts w:cs="Arial"/>
          <w:sz w:val="20"/>
        </w:rPr>
      </w:pPr>
      <w:r w:rsidRPr="007E71CE">
        <w:rPr>
          <w:rFonts w:cs="Arial"/>
          <w:sz w:val="20"/>
        </w:rPr>
        <w:t>Volet quantitatif de la collecte</w:t>
      </w:r>
      <w:r w:rsidR="00F3550E">
        <w:rPr>
          <w:rFonts w:cs="Arial"/>
          <w:sz w:val="20"/>
        </w:rPr>
        <w:t> :</w:t>
      </w:r>
      <w:r w:rsidRPr="007E71CE">
        <w:rPr>
          <w:rFonts w:cs="Arial"/>
          <w:sz w:val="20"/>
        </w:rPr>
        <w:t xml:space="preserve"> la</w:t>
      </w:r>
      <w:r w:rsidR="002B70A6" w:rsidRPr="007E71CE">
        <w:rPr>
          <w:rFonts w:cs="Arial"/>
          <w:sz w:val="20"/>
        </w:rPr>
        <w:t xml:space="preserve"> déclaration Statistiques</w:t>
      </w:r>
      <w:r w:rsidRPr="007E71CE">
        <w:rPr>
          <w:rFonts w:cs="Arial"/>
          <w:sz w:val="20"/>
        </w:rPr>
        <w:t xml:space="preserve">, </w:t>
      </w:r>
      <w:r w:rsidR="002B70A6" w:rsidRPr="007E71CE">
        <w:rPr>
          <w:rFonts w:cs="Arial"/>
          <w:sz w:val="20"/>
        </w:rPr>
        <w:t xml:space="preserve">Fraude </w:t>
      </w:r>
      <w:r w:rsidRPr="007E71CE">
        <w:rPr>
          <w:rFonts w:cs="Arial"/>
          <w:sz w:val="20"/>
        </w:rPr>
        <w:t xml:space="preserve">et Evolution de la sécurité </w:t>
      </w:r>
      <w:r w:rsidR="002B70A6" w:rsidRPr="007E71CE">
        <w:rPr>
          <w:rFonts w:cs="Arial"/>
          <w:sz w:val="20"/>
        </w:rPr>
        <w:t>est établie sur une base annuelle. L</w:t>
      </w:r>
      <w:r w:rsidR="00F3550E">
        <w:rPr>
          <w:rFonts w:cs="Arial"/>
          <w:sz w:val="20"/>
        </w:rPr>
        <w:t xml:space="preserve">a </w:t>
      </w:r>
      <w:r w:rsidR="002B70A6" w:rsidRPr="007E71CE">
        <w:rPr>
          <w:rFonts w:cs="Arial"/>
          <w:sz w:val="20"/>
        </w:rPr>
        <w:t xml:space="preserve">collecte </w:t>
      </w:r>
      <w:r w:rsidR="00F3550E">
        <w:rPr>
          <w:rFonts w:cs="Arial"/>
          <w:sz w:val="20"/>
        </w:rPr>
        <w:t xml:space="preserve">débute en février et </w:t>
      </w:r>
      <w:r w:rsidR="007813B8">
        <w:rPr>
          <w:rFonts w:cs="Arial"/>
          <w:sz w:val="20"/>
        </w:rPr>
        <w:t xml:space="preserve">s’achève </w:t>
      </w:r>
      <w:r w:rsidR="007813B8" w:rsidRPr="007813B8">
        <w:rPr>
          <w:rFonts w:cs="Arial"/>
          <w:sz w:val="20"/>
        </w:rPr>
        <w:t>le</w:t>
      </w:r>
      <w:r w:rsidR="002B70A6" w:rsidRPr="007813B8">
        <w:rPr>
          <w:rFonts w:cs="Arial"/>
          <w:sz w:val="20"/>
        </w:rPr>
        <w:t xml:space="preserve"> dernier jour ouvrable d’avril.</w:t>
      </w:r>
    </w:p>
    <w:p w14:paraId="04D4D516" w14:textId="77777777" w:rsidR="002B70A6" w:rsidRPr="002B70A6" w:rsidRDefault="002B70A6" w:rsidP="002B70A6">
      <w:pPr>
        <w:autoSpaceDE w:val="0"/>
        <w:autoSpaceDN w:val="0"/>
        <w:adjustRightInd w:val="0"/>
        <w:spacing w:before="0" w:beforeAutospacing="0" w:after="0" w:afterAutospacing="0"/>
        <w:jc w:val="both"/>
        <w:rPr>
          <w:rFonts w:cs="Arial"/>
          <w:sz w:val="20"/>
        </w:rPr>
      </w:pPr>
    </w:p>
    <w:p w14:paraId="73FF626A" w14:textId="132156DD" w:rsidR="002B70A6" w:rsidRDefault="000A4FC4" w:rsidP="007E71CE">
      <w:pPr>
        <w:pStyle w:val="Paragraphedeliste"/>
        <w:numPr>
          <w:ilvl w:val="0"/>
          <w:numId w:val="9"/>
        </w:numPr>
        <w:autoSpaceDE w:val="0"/>
        <w:autoSpaceDN w:val="0"/>
        <w:adjustRightInd w:val="0"/>
        <w:spacing w:before="0" w:beforeAutospacing="0" w:after="0" w:afterAutospacing="0"/>
        <w:jc w:val="both"/>
        <w:rPr>
          <w:rFonts w:cs="Arial"/>
          <w:sz w:val="20"/>
        </w:rPr>
      </w:pPr>
      <w:r w:rsidRPr="007E71CE">
        <w:rPr>
          <w:rFonts w:cs="Arial"/>
          <w:sz w:val="20"/>
        </w:rPr>
        <w:t>Volet qualitatif de la collecte</w:t>
      </w:r>
      <w:r w:rsidR="00F3550E">
        <w:rPr>
          <w:rFonts w:cs="Arial"/>
          <w:sz w:val="20"/>
        </w:rPr>
        <w:t> :</w:t>
      </w:r>
      <w:r w:rsidRPr="007E71CE">
        <w:rPr>
          <w:rFonts w:cs="Arial"/>
          <w:sz w:val="20"/>
        </w:rPr>
        <w:t xml:space="preserve"> l</w:t>
      </w:r>
      <w:r w:rsidR="002B70A6" w:rsidRPr="007E71CE">
        <w:rPr>
          <w:rFonts w:cs="Arial"/>
          <w:sz w:val="20"/>
        </w:rPr>
        <w:t xml:space="preserve">’auto-évaluation de la sécurité des titres ou instruments est à remettre une fois tous les trois ans du </w:t>
      </w:r>
      <w:r w:rsidR="002B70A6" w:rsidRPr="007813B8">
        <w:rPr>
          <w:rFonts w:cs="Arial"/>
          <w:sz w:val="20"/>
        </w:rPr>
        <w:t>1</w:t>
      </w:r>
      <w:r w:rsidR="002B70A6" w:rsidRPr="007813B8">
        <w:rPr>
          <w:rFonts w:cs="Arial"/>
          <w:sz w:val="20"/>
          <w:vertAlign w:val="superscript"/>
        </w:rPr>
        <w:t>er</w:t>
      </w:r>
      <w:r w:rsidR="002B70A6" w:rsidRPr="007813B8">
        <w:rPr>
          <w:rFonts w:cs="Arial"/>
          <w:sz w:val="20"/>
        </w:rPr>
        <w:t xml:space="preserve"> jour ouvrable de février au dernier jour ouvrable d’avril. Un établissement qui démarrerait ses activités sur l’année N sera tenu de remettre une première auto-évaluation </w:t>
      </w:r>
      <w:r w:rsidR="00D23FCB">
        <w:rPr>
          <w:rFonts w:cs="Arial"/>
          <w:sz w:val="20"/>
        </w:rPr>
        <w:t>à l’occasion de la collecte de l</w:t>
      </w:r>
      <w:r w:rsidR="002B70A6" w:rsidRPr="007813B8">
        <w:rPr>
          <w:rFonts w:cs="Arial"/>
          <w:sz w:val="20"/>
        </w:rPr>
        <w:t>’année N+1</w:t>
      </w:r>
      <w:r w:rsidR="00297330">
        <w:rPr>
          <w:rFonts w:cs="Arial"/>
          <w:sz w:val="20"/>
        </w:rPr>
        <w:t xml:space="preserve">, </w:t>
      </w:r>
      <w:r w:rsidR="00297330">
        <w:rPr>
          <w:rFonts w:cs="Arial"/>
          <w:i/>
          <w:color w:val="0070C0"/>
          <w:sz w:val="20"/>
        </w:rPr>
        <w:t>l’auto-évaluation suivante serait à remettre à l’occasion de la collecte N+4</w:t>
      </w:r>
      <w:r w:rsidR="002B70A6" w:rsidRPr="007813B8">
        <w:rPr>
          <w:rFonts w:cs="Arial"/>
          <w:sz w:val="20"/>
        </w:rPr>
        <w:t>.</w:t>
      </w:r>
    </w:p>
    <w:p w14:paraId="10CFBEF2" w14:textId="4D899CCD" w:rsidR="00EE2DA8" w:rsidRPr="00EE2DA8" w:rsidRDefault="00EE2DA8" w:rsidP="004A5C80">
      <w:pPr>
        <w:spacing w:after="0" w:afterAutospacing="0"/>
        <w:jc w:val="both"/>
        <w:rPr>
          <w:rFonts w:cs="Arial"/>
          <w:b/>
          <w:bCs/>
          <w:sz w:val="20"/>
        </w:rPr>
      </w:pPr>
      <w:r>
        <w:rPr>
          <w:rFonts w:cs="Arial"/>
          <w:b/>
          <w:bCs/>
          <w:sz w:val="20"/>
        </w:rPr>
        <w:lastRenderedPageBreak/>
        <w:t>La</w:t>
      </w:r>
      <w:r w:rsidRPr="00EE2DA8">
        <w:rPr>
          <w:rFonts w:cs="Arial"/>
          <w:b/>
          <w:bCs/>
          <w:sz w:val="20"/>
        </w:rPr>
        <w:t xml:space="preserve"> remise </w:t>
      </w:r>
      <w:r>
        <w:rPr>
          <w:rFonts w:cs="Arial"/>
          <w:b/>
          <w:bCs/>
          <w:sz w:val="20"/>
        </w:rPr>
        <w:t xml:space="preserve">de l’auto évaluation de la sécurité des titres ou instruments ne </w:t>
      </w:r>
      <w:r w:rsidRPr="00EE2DA8">
        <w:rPr>
          <w:rFonts w:cs="Arial"/>
          <w:b/>
          <w:bCs/>
          <w:sz w:val="20"/>
        </w:rPr>
        <w:t>concerne pas les établissements ayant déjà remis ce document au titre de l’exercice 2022</w:t>
      </w:r>
      <w:r>
        <w:rPr>
          <w:rFonts w:cs="Arial"/>
          <w:b/>
          <w:bCs/>
          <w:sz w:val="20"/>
        </w:rPr>
        <w:t xml:space="preserve"> (campagne de collecte 2023)</w:t>
      </w:r>
      <w:r w:rsidR="00297330">
        <w:rPr>
          <w:rFonts w:cs="Arial"/>
          <w:b/>
          <w:bCs/>
          <w:sz w:val="20"/>
        </w:rPr>
        <w:t xml:space="preserve"> </w:t>
      </w:r>
      <w:r w:rsidR="00297330">
        <w:rPr>
          <w:rFonts w:cs="Arial"/>
          <w:b/>
          <w:bCs/>
          <w:i/>
          <w:color w:val="0070C0"/>
          <w:sz w:val="20"/>
        </w:rPr>
        <w:t>et de l’exercice 2023 (campagne de collecte 2024)</w:t>
      </w:r>
      <w:r w:rsidRPr="00EE2DA8">
        <w:rPr>
          <w:rFonts w:cs="Arial"/>
          <w:b/>
          <w:bCs/>
          <w:sz w:val="20"/>
        </w:rPr>
        <w:t>.</w:t>
      </w:r>
    </w:p>
    <w:p w14:paraId="276F69E8" w14:textId="77777777" w:rsidR="002B70A6" w:rsidRPr="002B70A6" w:rsidRDefault="002B70A6" w:rsidP="004A5C80">
      <w:pPr>
        <w:autoSpaceDE w:val="0"/>
        <w:autoSpaceDN w:val="0"/>
        <w:adjustRightInd w:val="0"/>
        <w:spacing w:before="0" w:beforeAutospacing="0" w:after="0" w:afterAutospacing="0"/>
        <w:jc w:val="both"/>
        <w:rPr>
          <w:rFonts w:cs="Arial"/>
          <w:sz w:val="20"/>
        </w:rPr>
      </w:pPr>
    </w:p>
    <w:p w14:paraId="25FB8351" w14:textId="5FC037E8" w:rsidR="00D87FC3" w:rsidRPr="006829D5" w:rsidRDefault="00F3550E" w:rsidP="00297330">
      <w:pPr>
        <w:autoSpaceDE w:val="0"/>
        <w:autoSpaceDN w:val="0"/>
        <w:adjustRightInd w:val="0"/>
        <w:spacing w:before="0" w:beforeAutospacing="0" w:after="0" w:afterAutospacing="0"/>
        <w:jc w:val="both"/>
        <w:rPr>
          <w:rFonts w:cs="Arial"/>
          <w:b/>
          <w:i/>
          <w:sz w:val="20"/>
        </w:rPr>
      </w:pPr>
      <w:r w:rsidRPr="00EE2DA8">
        <w:rPr>
          <w:rFonts w:cs="Arial"/>
          <w:sz w:val="20"/>
        </w:rPr>
        <w:t xml:space="preserve">Afin d’assurer la sécurisation de </w:t>
      </w:r>
      <w:r w:rsidR="006829D5">
        <w:rPr>
          <w:rFonts w:cs="Arial"/>
          <w:sz w:val="20"/>
        </w:rPr>
        <w:t>l</w:t>
      </w:r>
      <w:r w:rsidRPr="00EE2DA8">
        <w:rPr>
          <w:rFonts w:cs="Arial"/>
          <w:sz w:val="20"/>
        </w:rPr>
        <w:t>a transmission</w:t>
      </w:r>
      <w:r w:rsidR="00FB77F1">
        <w:rPr>
          <w:rFonts w:cs="Arial"/>
          <w:sz w:val="20"/>
        </w:rPr>
        <w:t xml:space="preserve"> </w:t>
      </w:r>
      <w:r w:rsidR="006829D5">
        <w:rPr>
          <w:rFonts w:cs="Arial"/>
          <w:sz w:val="20"/>
        </w:rPr>
        <w:t xml:space="preserve">des fichiers </w:t>
      </w:r>
      <w:r w:rsidR="00FB77F1">
        <w:rPr>
          <w:rFonts w:cs="Arial"/>
          <w:sz w:val="20"/>
        </w:rPr>
        <w:t>à l’IEOM</w:t>
      </w:r>
      <w:r w:rsidR="00D87FC3">
        <w:rPr>
          <w:rFonts w:cs="Arial"/>
          <w:sz w:val="20"/>
        </w:rPr>
        <w:t xml:space="preserve">, </w:t>
      </w:r>
      <w:r w:rsidR="00297330">
        <w:rPr>
          <w:rFonts w:cs="Arial"/>
          <w:i/>
          <w:color w:val="0070C0"/>
          <w:sz w:val="20"/>
        </w:rPr>
        <w:t xml:space="preserve">un </w:t>
      </w:r>
      <w:r w:rsidR="006829D5">
        <w:rPr>
          <w:rFonts w:cs="Arial"/>
          <w:i/>
          <w:color w:val="0070C0"/>
          <w:sz w:val="20"/>
        </w:rPr>
        <w:t xml:space="preserve">transfert recourant à l’application </w:t>
      </w:r>
      <w:proofErr w:type="spellStart"/>
      <w:r w:rsidR="006829D5">
        <w:rPr>
          <w:rFonts w:cs="Arial"/>
          <w:i/>
          <w:color w:val="0070C0"/>
          <w:sz w:val="20"/>
        </w:rPr>
        <w:t>TransfertPro</w:t>
      </w:r>
      <w:proofErr w:type="spellEnd"/>
      <w:r w:rsidR="006829D5">
        <w:rPr>
          <w:rFonts w:cs="Arial"/>
          <w:i/>
          <w:color w:val="0070C0"/>
          <w:sz w:val="20"/>
        </w:rPr>
        <w:t xml:space="preserve"> peut être mis en œuvre</w:t>
      </w:r>
      <w:r w:rsidR="00D913CC">
        <w:rPr>
          <w:rFonts w:cs="Arial"/>
          <w:i/>
          <w:color w:val="0070C0"/>
          <w:sz w:val="20"/>
        </w:rPr>
        <w:t>, s</w:t>
      </w:r>
      <w:r w:rsidR="006829D5">
        <w:rPr>
          <w:rFonts w:cs="Arial"/>
          <w:i/>
          <w:color w:val="0070C0"/>
          <w:sz w:val="20"/>
        </w:rPr>
        <w:t xml:space="preserve">oit à l’initiative du déclarant, s’il dispose de la solution, soit sur demande adressée à </w:t>
      </w:r>
      <w:r w:rsidR="006829D5" w:rsidRPr="006829D5">
        <w:rPr>
          <w:rFonts w:cs="Arial"/>
          <w:i/>
          <w:color w:val="0070C0"/>
          <w:sz w:val="20"/>
        </w:rPr>
        <w:t xml:space="preserve">l’IEOM </w:t>
      </w:r>
      <w:r w:rsidR="006829D5" w:rsidRPr="006829D5">
        <w:rPr>
          <w:rFonts w:cs="Arial"/>
          <w:i/>
          <w:sz w:val="20"/>
        </w:rPr>
        <w:t>(</w:t>
      </w:r>
      <w:hyperlink r:id="rId14" w:history="1">
        <w:r w:rsidR="006829D5" w:rsidRPr="006829D5">
          <w:rPr>
            <w:rStyle w:val="Lienhypertexte"/>
            <w:rFonts w:eastAsiaTheme="majorEastAsia" w:cs="Arial"/>
            <w:i/>
            <w:sz w:val="20"/>
          </w:rPr>
          <w:t>IEOM-Paris-SEF-surveillance@iedom-ieom.fr</w:t>
        </w:r>
      </w:hyperlink>
      <w:r w:rsidR="006829D5" w:rsidRPr="006829D5">
        <w:rPr>
          <w:rFonts w:cs="Arial"/>
          <w:i/>
          <w:sz w:val="20"/>
        </w:rPr>
        <w:t>)</w:t>
      </w:r>
      <w:r w:rsidR="006829D5" w:rsidRPr="006829D5">
        <w:rPr>
          <w:rFonts w:cs="Arial"/>
          <w:i/>
          <w:color w:val="0070C0"/>
          <w:sz w:val="20"/>
        </w:rPr>
        <w:t>.</w:t>
      </w:r>
    </w:p>
    <w:p w14:paraId="67D2EDBE" w14:textId="77777777" w:rsidR="00D87FC3" w:rsidRDefault="00D87FC3" w:rsidP="002B70A6">
      <w:pPr>
        <w:autoSpaceDE w:val="0"/>
        <w:autoSpaceDN w:val="0"/>
        <w:adjustRightInd w:val="0"/>
        <w:spacing w:before="0" w:beforeAutospacing="0" w:after="0" w:afterAutospacing="0"/>
        <w:jc w:val="both"/>
        <w:rPr>
          <w:rFonts w:cs="Arial"/>
          <w:b/>
          <w:sz w:val="20"/>
        </w:rPr>
      </w:pPr>
    </w:p>
    <w:p w14:paraId="16300338" w14:textId="67F9738E" w:rsidR="002B70A6" w:rsidRPr="002B70A6" w:rsidRDefault="002B70A6" w:rsidP="002B70A6">
      <w:pPr>
        <w:autoSpaceDE w:val="0"/>
        <w:autoSpaceDN w:val="0"/>
        <w:adjustRightInd w:val="0"/>
        <w:spacing w:before="0" w:beforeAutospacing="0" w:after="0" w:afterAutospacing="0"/>
        <w:jc w:val="both"/>
        <w:rPr>
          <w:rFonts w:cs="Arial"/>
          <w:b/>
          <w:sz w:val="20"/>
        </w:rPr>
      </w:pPr>
      <w:r w:rsidRPr="002B70A6">
        <w:rPr>
          <w:rFonts w:cs="Arial"/>
          <w:b/>
          <w:sz w:val="20"/>
        </w:rPr>
        <w:t>Pour toute information, vous pouvez contacter les services de l’Institut d’émission d’Outre-mer à partir des coordonnées suivantes :</w:t>
      </w:r>
    </w:p>
    <w:p w14:paraId="4AF83869" w14:textId="77777777" w:rsidR="002B70A6" w:rsidRPr="002B70A6" w:rsidRDefault="002B70A6" w:rsidP="002B70A6">
      <w:pPr>
        <w:autoSpaceDE w:val="0"/>
        <w:autoSpaceDN w:val="0"/>
        <w:adjustRightInd w:val="0"/>
        <w:spacing w:before="0" w:beforeAutospacing="0" w:after="0" w:afterAutospacing="0"/>
        <w:jc w:val="both"/>
        <w:rPr>
          <w:rFonts w:cs="Arial"/>
          <w:b/>
          <w:sz w:val="20"/>
        </w:rPr>
      </w:pPr>
    </w:p>
    <w:tbl>
      <w:tblPr>
        <w:tblStyle w:val="Grilledutableau"/>
        <w:tblW w:w="0" w:type="auto"/>
        <w:tblLook w:val="04A0" w:firstRow="1" w:lastRow="0" w:firstColumn="1" w:lastColumn="0" w:noHBand="0" w:noVBand="1"/>
      </w:tblPr>
      <w:tblGrid>
        <w:gridCol w:w="4530"/>
        <w:gridCol w:w="4530"/>
      </w:tblGrid>
      <w:tr w:rsidR="002B70A6" w:rsidRPr="002B70A6" w14:paraId="59944EAC" w14:textId="77777777" w:rsidTr="002B70A6">
        <w:tc>
          <w:tcPr>
            <w:tcW w:w="4530" w:type="dxa"/>
          </w:tcPr>
          <w:p w14:paraId="7374B55F" w14:textId="13B27F4E" w:rsidR="002B70A6" w:rsidRPr="002B70A6" w:rsidRDefault="002B70A6" w:rsidP="005A7F24">
            <w:pPr>
              <w:autoSpaceDE w:val="0"/>
              <w:autoSpaceDN w:val="0"/>
              <w:adjustRightInd w:val="0"/>
              <w:spacing w:before="0" w:beforeAutospacing="0" w:after="0" w:afterAutospacing="0"/>
              <w:rPr>
                <w:rFonts w:cs="Arial"/>
                <w:sz w:val="20"/>
              </w:rPr>
            </w:pPr>
            <w:r w:rsidRPr="002B70A6">
              <w:rPr>
                <w:rFonts w:cs="Arial"/>
                <w:sz w:val="20"/>
              </w:rPr>
              <w:t>L’agence de l’IEOM de votre Collectivité (</w:t>
            </w:r>
            <w:hyperlink r:id="rId15" w:history="1">
              <w:r w:rsidRPr="002B70A6">
                <w:rPr>
                  <w:rStyle w:val="Lienhypertexte"/>
                  <w:rFonts w:eastAsiaTheme="majorEastAsia" w:cs="Arial"/>
                  <w:sz w:val="20"/>
                </w:rPr>
                <w:t>PMSB@ieom.nc</w:t>
              </w:r>
            </w:hyperlink>
            <w:r w:rsidRPr="002B70A6">
              <w:rPr>
                <w:rFonts w:cs="Arial"/>
                <w:sz w:val="20"/>
              </w:rPr>
              <w:t xml:space="preserve"> ; </w:t>
            </w:r>
            <w:hyperlink r:id="rId16" w:history="1">
              <w:r w:rsidRPr="002B70A6">
                <w:rPr>
                  <w:rStyle w:val="Lienhypertexte"/>
                  <w:rFonts w:eastAsiaTheme="majorEastAsia" w:cs="Arial"/>
                  <w:sz w:val="20"/>
                </w:rPr>
                <w:t>PMSB@ieom.pf</w:t>
              </w:r>
            </w:hyperlink>
            <w:r w:rsidRPr="002B70A6">
              <w:rPr>
                <w:rFonts w:cs="Arial"/>
                <w:sz w:val="20"/>
              </w:rPr>
              <w:t>) ou les services du siège (</w:t>
            </w:r>
            <w:hyperlink r:id="rId17" w:history="1">
              <w:r w:rsidRPr="002B70A6">
                <w:rPr>
                  <w:rStyle w:val="Lienhypertexte"/>
                  <w:rFonts w:eastAsiaTheme="majorEastAsia" w:cs="Arial"/>
                  <w:sz w:val="20"/>
                </w:rPr>
                <w:t>IEOM-Paris-SEF-surveillance@iedom-ieom.fr</w:t>
              </w:r>
            </w:hyperlink>
            <w:r w:rsidRPr="002B70A6">
              <w:rPr>
                <w:rFonts w:cs="Arial"/>
                <w:sz w:val="20"/>
              </w:rPr>
              <w:t>)</w:t>
            </w:r>
          </w:p>
        </w:tc>
        <w:tc>
          <w:tcPr>
            <w:tcW w:w="4530" w:type="dxa"/>
          </w:tcPr>
          <w:p w14:paraId="5F5EF971" w14:textId="77777777" w:rsidR="002B70A6" w:rsidRPr="002B70A6" w:rsidRDefault="002B70A6" w:rsidP="002B70A6">
            <w:pPr>
              <w:autoSpaceDE w:val="0"/>
              <w:autoSpaceDN w:val="0"/>
              <w:adjustRightInd w:val="0"/>
              <w:spacing w:before="0" w:beforeAutospacing="0" w:after="0" w:afterAutospacing="0"/>
              <w:jc w:val="both"/>
              <w:rPr>
                <w:rFonts w:cs="Arial"/>
                <w:sz w:val="20"/>
              </w:rPr>
            </w:pPr>
            <w:r w:rsidRPr="002B70A6">
              <w:rPr>
                <w:rFonts w:cs="Arial"/>
                <w:sz w:val="20"/>
              </w:rPr>
              <w:t xml:space="preserve">Pour les questions portant sur la gestion opérationnelle de la collecte </w:t>
            </w:r>
          </w:p>
        </w:tc>
      </w:tr>
      <w:tr w:rsidR="00D87FC3" w:rsidRPr="002B70A6" w14:paraId="5BDB5F73" w14:textId="77777777" w:rsidTr="002B70A6">
        <w:tc>
          <w:tcPr>
            <w:tcW w:w="4530" w:type="dxa"/>
          </w:tcPr>
          <w:p w14:paraId="28AF548A" w14:textId="23AE78AB" w:rsidR="00D87FC3" w:rsidRDefault="00876E1F" w:rsidP="002B70A6">
            <w:pPr>
              <w:autoSpaceDE w:val="0"/>
              <w:autoSpaceDN w:val="0"/>
              <w:adjustRightInd w:val="0"/>
              <w:spacing w:before="0" w:beforeAutospacing="0" w:after="0" w:afterAutospacing="0"/>
              <w:jc w:val="both"/>
            </w:pPr>
            <w:hyperlink r:id="rId18" w:history="1">
              <w:r w:rsidR="00FB77F1" w:rsidRPr="00650203">
                <w:rPr>
                  <w:rStyle w:val="Lienhypertexte"/>
                </w:rPr>
                <w:t>sylvie.pipponiau@iedom-ieom.fr</w:t>
              </w:r>
            </w:hyperlink>
            <w:r w:rsidR="00FB77F1">
              <w:t xml:space="preserve"> ou</w:t>
            </w:r>
          </w:p>
          <w:p w14:paraId="1670F442" w14:textId="29E64BAC" w:rsidR="00883E89" w:rsidRDefault="00876E1F" w:rsidP="002B70A6">
            <w:pPr>
              <w:autoSpaceDE w:val="0"/>
              <w:autoSpaceDN w:val="0"/>
              <w:adjustRightInd w:val="0"/>
              <w:spacing w:before="0" w:beforeAutospacing="0" w:after="0" w:afterAutospacing="0"/>
              <w:jc w:val="both"/>
            </w:pPr>
            <w:hyperlink r:id="rId19" w:history="1">
              <w:r w:rsidR="00883E89" w:rsidRPr="0089712C">
                <w:rPr>
                  <w:rStyle w:val="Lienhypertexte"/>
                </w:rPr>
                <w:t>olivier.basseto@iedom-ieom.fr</w:t>
              </w:r>
            </w:hyperlink>
          </w:p>
        </w:tc>
        <w:tc>
          <w:tcPr>
            <w:tcW w:w="4530" w:type="dxa"/>
          </w:tcPr>
          <w:p w14:paraId="06573D67" w14:textId="3E56AED3" w:rsidR="00D87FC3" w:rsidRPr="002B70A6" w:rsidRDefault="00883E89" w:rsidP="002B70A6">
            <w:pPr>
              <w:autoSpaceDE w:val="0"/>
              <w:autoSpaceDN w:val="0"/>
              <w:adjustRightInd w:val="0"/>
              <w:spacing w:before="0" w:beforeAutospacing="0" w:after="0" w:afterAutospacing="0"/>
              <w:jc w:val="both"/>
              <w:rPr>
                <w:rFonts w:cs="Arial"/>
                <w:sz w:val="20"/>
              </w:rPr>
            </w:pPr>
            <w:r>
              <w:rPr>
                <w:rFonts w:cs="Arial"/>
                <w:sz w:val="20"/>
              </w:rPr>
              <w:t>Destinataires des courriers électroniques de réponse à la collecte</w:t>
            </w:r>
            <w:r w:rsidR="00C11D5E">
              <w:rPr>
                <w:rFonts w:cs="Arial"/>
                <w:sz w:val="20"/>
              </w:rPr>
              <w:t xml:space="preserve"> </w:t>
            </w:r>
            <w:r w:rsidR="00C11D5E" w:rsidRPr="00C11D5E">
              <w:rPr>
                <w:rFonts w:cs="Arial"/>
                <w:i/>
                <w:color w:val="0070C0"/>
                <w:sz w:val="20"/>
              </w:rPr>
              <w:t xml:space="preserve">(utilisation de </w:t>
            </w:r>
            <w:proofErr w:type="spellStart"/>
            <w:r w:rsidR="00C11D5E" w:rsidRPr="00C11D5E">
              <w:rPr>
                <w:rFonts w:cs="Arial"/>
                <w:i/>
                <w:color w:val="0070C0"/>
                <w:sz w:val="20"/>
              </w:rPr>
              <w:t>TransfertPro</w:t>
            </w:r>
            <w:proofErr w:type="spellEnd"/>
            <w:r w:rsidR="00C11D5E" w:rsidRPr="00C11D5E">
              <w:rPr>
                <w:rFonts w:cs="Arial"/>
                <w:i/>
                <w:color w:val="0070C0"/>
                <w:sz w:val="20"/>
              </w:rPr>
              <w:t>)</w:t>
            </w:r>
            <w:r>
              <w:rPr>
                <w:rFonts w:cs="Arial"/>
                <w:sz w:val="20"/>
              </w:rPr>
              <w:t xml:space="preserve"> </w:t>
            </w:r>
          </w:p>
        </w:tc>
      </w:tr>
      <w:tr w:rsidR="002B70A6" w:rsidRPr="002B70A6" w14:paraId="7C1EBE78" w14:textId="77777777" w:rsidTr="002B70A6">
        <w:tc>
          <w:tcPr>
            <w:tcW w:w="4530" w:type="dxa"/>
          </w:tcPr>
          <w:p w14:paraId="299B0888" w14:textId="77777777" w:rsidR="002B70A6" w:rsidRPr="002B70A6" w:rsidRDefault="00876E1F" w:rsidP="002B70A6">
            <w:pPr>
              <w:autoSpaceDE w:val="0"/>
              <w:autoSpaceDN w:val="0"/>
              <w:adjustRightInd w:val="0"/>
              <w:spacing w:before="0" w:beforeAutospacing="0" w:after="0" w:afterAutospacing="0"/>
              <w:jc w:val="both"/>
              <w:rPr>
                <w:rFonts w:cs="Arial"/>
                <w:sz w:val="20"/>
              </w:rPr>
            </w:pPr>
            <w:hyperlink r:id="rId20" w:history="1">
              <w:r w:rsidR="002B70A6" w:rsidRPr="002B70A6">
                <w:rPr>
                  <w:rStyle w:val="Lienhypertexte"/>
                  <w:rFonts w:eastAsiaTheme="majorEastAsia" w:cs="Arial"/>
                  <w:sz w:val="20"/>
                </w:rPr>
                <w:t>IEOM-Paris-SEF-surveillance@iedom-ieom.fr</w:t>
              </w:r>
            </w:hyperlink>
          </w:p>
        </w:tc>
        <w:tc>
          <w:tcPr>
            <w:tcW w:w="4530" w:type="dxa"/>
          </w:tcPr>
          <w:p w14:paraId="3BA32066" w14:textId="77777777" w:rsidR="002B70A6" w:rsidRPr="002B70A6" w:rsidRDefault="002B70A6" w:rsidP="002B70A6">
            <w:pPr>
              <w:autoSpaceDE w:val="0"/>
              <w:autoSpaceDN w:val="0"/>
              <w:adjustRightInd w:val="0"/>
              <w:spacing w:before="0" w:beforeAutospacing="0" w:after="0" w:afterAutospacing="0"/>
              <w:jc w:val="both"/>
              <w:rPr>
                <w:rFonts w:cs="Arial"/>
                <w:sz w:val="20"/>
              </w:rPr>
            </w:pPr>
            <w:r w:rsidRPr="002B70A6">
              <w:rPr>
                <w:rFonts w:cs="Arial"/>
                <w:sz w:val="20"/>
              </w:rPr>
              <w:t>Pour les questions d'ordre méthodologique pour lesquelles le présent guide de remplissage n'apporte pas de réponse</w:t>
            </w:r>
          </w:p>
        </w:tc>
      </w:tr>
    </w:tbl>
    <w:p w14:paraId="235159DF" w14:textId="0CDB3203" w:rsidR="002B70A6" w:rsidRDefault="002B70A6" w:rsidP="009A6E9C">
      <w:pPr>
        <w:pStyle w:val="NormalWeb"/>
        <w:spacing w:before="0" w:beforeAutospacing="0" w:after="0" w:afterAutospacing="0"/>
        <w:jc w:val="both"/>
        <w:rPr>
          <w:rFonts w:ascii="Arial" w:hAnsi="Arial" w:cs="Arial"/>
          <w:sz w:val="20"/>
          <w:szCs w:val="20"/>
        </w:rPr>
      </w:pPr>
    </w:p>
    <w:p w14:paraId="02F9D3FD" w14:textId="68708883" w:rsidR="00952CFB" w:rsidRDefault="0006619F" w:rsidP="003566DA">
      <w:pPr>
        <w:pStyle w:val="Titre1"/>
      </w:pPr>
      <w:bookmarkStart w:id="14" w:name="_Toc158133138"/>
      <w:r>
        <w:t xml:space="preserve">Description </w:t>
      </w:r>
      <w:r w:rsidR="008D2508">
        <w:t>de</w:t>
      </w:r>
      <w:r w:rsidR="00F633E9">
        <w:t xml:space="preserve"> la collecte</w:t>
      </w:r>
      <w:r w:rsidR="009A6E9C">
        <w:t xml:space="preserve"> TSPD, IPS et CESU de l’IEOM :</w:t>
      </w:r>
      <w:bookmarkEnd w:id="14"/>
    </w:p>
    <w:p w14:paraId="552295AA" w14:textId="40286F5C" w:rsidR="00E929DB" w:rsidRPr="00EB5991" w:rsidRDefault="0092730B" w:rsidP="00C26BA3">
      <w:pPr>
        <w:pStyle w:val="Titre2"/>
        <w:spacing w:before="0" w:beforeAutospacing="0" w:after="0" w:afterAutospacing="0"/>
        <w:ind w:left="567"/>
      </w:pPr>
      <w:bookmarkStart w:id="15" w:name="_Toc523152520"/>
      <w:bookmarkStart w:id="16" w:name="_Toc158133139"/>
      <w:bookmarkEnd w:id="15"/>
      <w:r>
        <w:t xml:space="preserve">Volet quantitatif de la collecte et Renseignement du fichier </w:t>
      </w:r>
      <w:r w:rsidR="007E49DB">
        <w:t xml:space="preserve">relatif à l’activité, la fraude subie et à l’évolution du dispositif de sécurité de l’entreprise : </w:t>
      </w:r>
      <w:r>
        <w:t>« </w:t>
      </w:r>
      <w:r>
        <w:rPr>
          <w:sz w:val="20"/>
        </w:rPr>
        <w:t>NOM_ENTREPRISE_TSPD_IPS_CESU_IEOM_Stat_Activite_Fraude_Evol_securite_202</w:t>
      </w:r>
      <w:r w:rsidR="000B3B1B">
        <w:rPr>
          <w:sz w:val="20"/>
        </w:rPr>
        <w:t>4</w:t>
      </w:r>
      <w:r>
        <w:rPr>
          <w:sz w:val="20"/>
        </w:rPr>
        <w:t>.xlsx</w:t>
      </w:r>
      <w:r>
        <w:t> »</w:t>
      </w:r>
      <w:bookmarkEnd w:id="16"/>
    </w:p>
    <w:p w14:paraId="71A806BC" w14:textId="77777777" w:rsidR="00D007FE" w:rsidRPr="009562B3" w:rsidRDefault="00D007FE" w:rsidP="009562B3">
      <w:pPr>
        <w:spacing w:before="0" w:beforeAutospacing="0" w:after="0" w:afterAutospacing="0"/>
        <w:jc w:val="both"/>
        <w:rPr>
          <w:rFonts w:cs="Arial"/>
          <w:sz w:val="20"/>
        </w:rPr>
      </w:pPr>
    </w:p>
    <w:p w14:paraId="34CD6513" w14:textId="5C0EA231" w:rsidR="000B3B1B" w:rsidRPr="000B3B1B" w:rsidRDefault="00125597" w:rsidP="009562B3">
      <w:pPr>
        <w:autoSpaceDE w:val="0"/>
        <w:autoSpaceDN w:val="0"/>
        <w:adjustRightInd w:val="0"/>
        <w:spacing w:before="0" w:beforeAutospacing="0" w:after="0" w:afterAutospacing="0"/>
        <w:jc w:val="both"/>
        <w:rPr>
          <w:i/>
          <w:color w:val="0070C0"/>
          <w:sz w:val="20"/>
        </w:rPr>
      </w:pPr>
      <w:r>
        <w:rPr>
          <w:rFonts w:cs="Arial"/>
          <w:i/>
          <w:color w:val="0070C0"/>
          <w:sz w:val="20"/>
        </w:rPr>
        <w:t xml:space="preserve">Une </w:t>
      </w:r>
      <w:r w:rsidR="000B3B1B" w:rsidRPr="000B3B1B">
        <w:rPr>
          <w:rFonts w:cs="Arial"/>
          <w:i/>
          <w:color w:val="0070C0"/>
          <w:sz w:val="20"/>
        </w:rPr>
        <w:t xml:space="preserve">fois le </w:t>
      </w:r>
      <w:r>
        <w:rPr>
          <w:rFonts w:cs="Arial"/>
          <w:i/>
          <w:color w:val="0070C0"/>
          <w:sz w:val="20"/>
        </w:rPr>
        <w:t>fichier renseigné (tableaux activité et fraude)</w:t>
      </w:r>
      <w:r w:rsidR="000B3B1B" w:rsidRPr="000B3B1B">
        <w:rPr>
          <w:rFonts w:cs="Arial"/>
          <w:i/>
          <w:color w:val="0070C0"/>
          <w:sz w:val="20"/>
        </w:rPr>
        <w:t xml:space="preserve">, il devra être </w:t>
      </w:r>
      <w:r w:rsidR="00080183">
        <w:rPr>
          <w:rFonts w:cs="Arial"/>
          <w:i/>
          <w:color w:val="0070C0"/>
          <w:sz w:val="20"/>
        </w:rPr>
        <w:t>adressé</w:t>
      </w:r>
      <w:r>
        <w:rPr>
          <w:rFonts w:cs="Arial"/>
          <w:i/>
          <w:color w:val="0070C0"/>
          <w:sz w:val="20"/>
        </w:rPr>
        <w:t xml:space="preserve"> à l’IEOM via la solution </w:t>
      </w:r>
      <w:proofErr w:type="spellStart"/>
      <w:r>
        <w:rPr>
          <w:rFonts w:cs="Arial"/>
          <w:i/>
          <w:color w:val="0070C0"/>
          <w:sz w:val="20"/>
        </w:rPr>
        <w:t>TransfertPro</w:t>
      </w:r>
      <w:proofErr w:type="spellEnd"/>
      <w:r w:rsidR="000B3B1B" w:rsidRPr="000B3B1B">
        <w:rPr>
          <w:rFonts w:cs="Arial"/>
          <w:i/>
          <w:color w:val="0070C0"/>
          <w:sz w:val="20"/>
        </w:rPr>
        <w:t xml:space="preserve"> en respectant les règles de nommage suivantes : </w:t>
      </w:r>
      <w:r w:rsidR="000B3B1B" w:rsidRPr="000B3B1B">
        <w:rPr>
          <w:b/>
          <w:i/>
          <w:color w:val="0070C0"/>
          <w:sz w:val="20"/>
        </w:rPr>
        <w:t>NOM_ENTREPRISE</w:t>
      </w:r>
      <w:r w:rsidR="000B3B1B" w:rsidRPr="000B3B1B">
        <w:rPr>
          <w:i/>
          <w:color w:val="0070C0"/>
          <w:sz w:val="20"/>
        </w:rPr>
        <w:t>_TSPD_IPS_CESU_IEOM_Stat_Activite_Fraude_Evol_securite_2024.xlsx ;</w:t>
      </w:r>
    </w:p>
    <w:p w14:paraId="7F94E6EF" w14:textId="77777777" w:rsidR="000B3B1B" w:rsidRPr="000B3B1B" w:rsidRDefault="000B3B1B" w:rsidP="009562B3">
      <w:pPr>
        <w:autoSpaceDE w:val="0"/>
        <w:autoSpaceDN w:val="0"/>
        <w:adjustRightInd w:val="0"/>
        <w:spacing w:before="0" w:beforeAutospacing="0" w:after="0" w:afterAutospacing="0"/>
        <w:jc w:val="both"/>
        <w:rPr>
          <w:i/>
          <w:color w:val="0070C0"/>
          <w:sz w:val="20"/>
        </w:rPr>
      </w:pPr>
    </w:p>
    <w:p w14:paraId="670C6C15" w14:textId="531A58CC" w:rsidR="0092730B" w:rsidRPr="009562B3" w:rsidRDefault="0092730B" w:rsidP="009562B3">
      <w:pPr>
        <w:autoSpaceDE w:val="0"/>
        <w:autoSpaceDN w:val="0"/>
        <w:adjustRightInd w:val="0"/>
        <w:spacing w:before="0" w:beforeAutospacing="0" w:after="0" w:afterAutospacing="0"/>
        <w:jc w:val="both"/>
        <w:rPr>
          <w:rFonts w:cs="Arial"/>
          <w:sz w:val="20"/>
        </w:rPr>
      </w:pPr>
      <w:r w:rsidRPr="009562B3">
        <w:rPr>
          <w:rFonts w:cs="Arial"/>
          <w:sz w:val="20"/>
        </w:rPr>
        <w:t>Les informations rapportées dans les deux premiers onglet</w:t>
      </w:r>
      <w:r w:rsidR="006870C6">
        <w:rPr>
          <w:rFonts w:cs="Arial"/>
          <w:sz w:val="20"/>
        </w:rPr>
        <w:t>s</w:t>
      </w:r>
      <w:r w:rsidRPr="009562B3">
        <w:rPr>
          <w:rFonts w:cs="Arial"/>
          <w:sz w:val="20"/>
        </w:rPr>
        <w:t xml:space="preserve">, activité et fraude, sont exclusivement de nature quantitative. </w:t>
      </w:r>
    </w:p>
    <w:p w14:paraId="629B5BC3" w14:textId="77777777" w:rsidR="0092730B" w:rsidRPr="009562B3" w:rsidRDefault="0092730B" w:rsidP="009562B3">
      <w:pPr>
        <w:autoSpaceDE w:val="0"/>
        <w:autoSpaceDN w:val="0"/>
        <w:adjustRightInd w:val="0"/>
        <w:spacing w:before="0" w:beforeAutospacing="0" w:after="0" w:afterAutospacing="0"/>
        <w:jc w:val="both"/>
        <w:rPr>
          <w:rFonts w:cs="Arial"/>
          <w:sz w:val="20"/>
        </w:rPr>
      </w:pPr>
    </w:p>
    <w:p w14:paraId="7D1C2486" w14:textId="59816A36" w:rsidR="0092730B" w:rsidRPr="00713FF0" w:rsidRDefault="0092730B" w:rsidP="00713FF0">
      <w:pPr>
        <w:autoSpaceDE w:val="0"/>
        <w:autoSpaceDN w:val="0"/>
        <w:adjustRightInd w:val="0"/>
        <w:spacing w:before="0" w:beforeAutospacing="0" w:after="0" w:afterAutospacing="0"/>
        <w:jc w:val="both"/>
        <w:rPr>
          <w:rFonts w:cs="Arial"/>
          <w:sz w:val="20"/>
        </w:rPr>
      </w:pPr>
      <w:r w:rsidRPr="009562B3">
        <w:rPr>
          <w:rFonts w:cs="Arial"/>
          <w:sz w:val="20"/>
        </w:rPr>
        <w:t xml:space="preserve">Les informations rapportées dans le troisième volet sont de nature qualitative, et visent à rappeler synthétiquement les évolutions ayant eu un impact sur les objectifs de sécurité de l’émetteur au cours de </w:t>
      </w:r>
      <w:r w:rsidRPr="00713FF0">
        <w:rPr>
          <w:rFonts w:cs="Arial"/>
          <w:sz w:val="20"/>
        </w:rPr>
        <w:t xml:space="preserve">l’année sous revue. Les 11 axes d’analyse renvoient </w:t>
      </w:r>
      <w:r w:rsidR="007C4335" w:rsidRPr="00713FF0">
        <w:rPr>
          <w:rFonts w:cs="Arial"/>
          <w:sz w:val="20"/>
        </w:rPr>
        <w:t xml:space="preserve">aux thématiques </w:t>
      </w:r>
      <w:r w:rsidRPr="00713FF0">
        <w:rPr>
          <w:rFonts w:cs="Arial"/>
          <w:sz w:val="20"/>
        </w:rPr>
        <w:t>développés dans le reporting d’auto-évaluation</w:t>
      </w:r>
      <w:r w:rsidR="007C4335" w:rsidRPr="00713FF0">
        <w:rPr>
          <w:rFonts w:cs="Arial"/>
          <w:sz w:val="20"/>
        </w:rPr>
        <w:t xml:space="preserve"> </w:t>
      </w:r>
      <w:r w:rsidRPr="00713FF0">
        <w:rPr>
          <w:rFonts w:cs="Arial"/>
          <w:sz w:val="20"/>
        </w:rPr>
        <w:t xml:space="preserve">(cf. </w:t>
      </w:r>
      <w:r w:rsidR="000B3B1B">
        <w:rPr>
          <w:rFonts w:cs="Arial"/>
          <w:sz w:val="20"/>
        </w:rPr>
        <w:t>inf</w:t>
      </w:r>
      <w:r w:rsidRPr="00713FF0">
        <w:rPr>
          <w:rFonts w:cs="Arial"/>
          <w:sz w:val="20"/>
        </w:rPr>
        <w:t>ra</w:t>
      </w:r>
      <w:r w:rsidR="007C4335" w:rsidRPr="00713FF0">
        <w:rPr>
          <w:rFonts w:cs="Arial"/>
          <w:sz w:val="20"/>
        </w:rPr>
        <w:t xml:space="preserve"> § 2.2. Volet qualitatif)</w:t>
      </w:r>
      <w:r w:rsidRPr="00713FF0">
        <w:rPr>
          <w:rFonts w:cs="Arial"/>
          <w:sz w:val="20"/>
        </w:rPr>
        <w:t>.</w:t>
      </w:r>
    </w:p>
    <w:p w14:paraId="558E012E" w14:textId="77777777" w:rsidR="00713FF0" w:rsidRPr="00713FF0" w:rsidRDefault="00713FF0" w:rsidP="00713FF0">
      <w:pPr>
        <w:autoSpaceDE w:val="0"/>
        <w:autoSpaceDN w:val="0"/>
        <w:adjustRightInd w:val="0"/>
        <w:spacing w:before="0" w:beforeAutospacing="0" w:after="0" w:afterAutospacing="0"/>
        <w:jc w:val="both"/>
        <w:rPr>
          <w:rFonts w:cs="Arial"/>
          <w:bCs/>
          <w:sz w:val="20"/>
        </w:rPr>
      </w:pPr>
    </w:p>
    <w:p w14:paraId="183E5ED7" w14:textId="0D9ACDDC" w:rsidR="00713FF0" w:rsidRPr="00713FF0" w:rsidRDefault="00713FF0" w:rsidP="00713FF0">
      <w:pPr>
        <w:spacing w:before="0" w:beforeAutospacing="0" w:after="0" w:afterAutospacing="0"/>
        <w:jc w:val="both"/>
        <w:rPr>
          <w:rFonts w:cs="Arial"/>
          <w:bCs/>
          <w:sz w:val="20"/>
        </w:rPr>
      </w:pPr>
      <w:r w:rsidRPr="00713FF0">
        <w:rPr>
          <w:rFonts w:cs="Arial"/>
          <w:bCs/>
          <w:sz w:val="20"/>
        </w:rPr>
        <w:t>Les trois tableaux, ou onglets, du fichi</w:t>
      </w:r>
      <w:r w:rsidR="00994E8D">
        <w:rPr>
          <w:rFonts w:cs="Arial"/>
          <w:bCs/>
          <w:sz w:val="20"/>
        </w:rPr>
        <w:t>er Excel listent</w:t>
      </w:r>
      <w:r w:rsidRPr="00713FF0">
        <w:rPr>
          <w:rFonts w:cs="Arial"/>
          <w:bCs/>
          <w:sz w:val="20"/>
        </w:rPr>
        <w:t xml:space="preserve"> l’ensemble des TSPD, IPS et CESU que les déclarants sont susceptibles d’émettre pour le compte de leurs clients. </w:t>
      </w:r>
      <w:r w:rsidR="006870C6">
        <w:rPr>
          <w:rFonts w:cs="Arial"/>
          <w:bCs/>
          <w:sz w:val="20"/>
        </w:rPr>
        <w:t>Aussi, l</w:t>
      </w:r>
      <w:r w:rsidRPr="00713FF0">
        <w:rPr>
          <w:rFonts w:cs="Arial"/>
          <w:bCs/>
          <w:sz w:val="20"/>
        </w:rPr>
        <w:t>e déclarant doit limiter sa remise aux seul</w:t>
      </w:r>
      <w:r w:rsidR="006829D5">
        <w:rPr>
          <w:rFonts w:cs="Arial"/>
          <w:bCs/>
          <w:sz w:val="20"/>
        </w:rPr>
        <w:t>e</w:t>
      </w:r>
      <w:r w:rsidRPr="00713FF0">
        <w:rPr>
          <w:rFonts w:cs="Arial"/>
          <w:bCs/>
          <w:sz w:val="20"/>
        </w:rPr>
        <w:t>s colonnes d’instruments ou titres pour lesquels il est émetteur</w:t>
      </w:r>
      <w:r w:rsidRPr="006829D5">
        <w:rPr>
          <w:rFonts w:cs="Arial"/>
          <w:bCs/>
          <w:i/>
          <w:color w:val="0070C0"/>
          <w:sz w:val="20"/>
        </w:rPr>
        <w:t xml:space="preserve">. </w:t>
      </w:r>
      <w:r w:rsidR="0040361D" w:rsidRPr="006829D5">
        <w:rPr>
          <w:rFonts w:cs="Arial"/>
          <w:bCs/>
          <w:i/>
          <w:color w:val="0070C0"/>
          <w:sz w:val="20"/>
        </w:rPr>
        <w:t>A ce titre, l</w:t>
      </w:r>
      <w:r w:rsidR="006829D5" w:rsidRPr="006829D5">
        <w:rPr>
          <w:rFonts w:cs="Arial"/>
          <w:bCs/>
          <w:i/>
          <w:color w:val="0070C0"/>
          <w:sz w:val="20"/>
        </w:rPr>
        <w:t>e</w:t>
      </w:r>
      <w:r w:rsidR="0040361D" w:rsidRPr="006829D5">
        <w:rPr>
          <w:rFonts w:cs="Arial"/>
          <w:bCs/>
          <w:i/>
          <w:color w:val="0070C0"/>
          <w:sz w:val="20"/>
        </w:rPr>
        <w:t xml:space="preserve"> </w:t>
      </w:r>
      <w:r w:rsidR="006829D5" w:rsidRPr="006829D5">
        <w:rPr>
          <w:rFonts w:cs="Arial"/>
          <w:bCs/>
          <w:i/>
          <w:color w:val="0070C0"/>
          <w:sz w:val="20"/>
        </w:rPr>
        <w:t>déclarant est invité à supprimer des tableaux « Activité »</w:t>
      </w:r>
      <w:r w:rsidR="001D6508">
        <w:rPr>
          <w:rFonts w:cs="Arial"/>
          <w:bCs/>
          <w:i/>
          <w:color w:val="0070C0"/>
          <w:sz w:val="20"/>
        </w:rPr>
        <w:t>,</w:t>
      </w:r>
      <w:r w:rsidR="006829D5" w:rsidRPr="006829D5">
        <w:rPr>
          <w:rFonts w:cs="Arial"/>
          <w:bCs/>
          <w:i/>
          <w:color w:val="0070C0"/>
          <w:sz w:val="20"/>
        </w:rPr>
        <w:t xml:space="preserve"> « Fraude » </w:t>
      </w:r>
      <w:r w:rsidR="001D6508">
        <w:rPr>
          <w:rFonts w:cs="Arial"/>
          <w:bCs/>
          <w:i/>
          <w:color w:val="0070C0"/>
          <w:sz w:val="20"/>
        </w:rPr>
        <w:t xml:space="preserve">et « Evolutions sécurité » </w:t>
      </w:r>
      <w:r w:rsidR="006829D5" w:rsidRPr="006829D5">
        <w:rPr>
          <w:rFonts w:cs="Arial"/>
          <w:bCs/>
          <w:i/>
          <w:color w:val="0070C0"/>
          <w:sz w:val="20"/>
        </w:rPr>
        <w:t>les colonnes ne répondant pas à ses segments d’activit</w:t>
      </w:r>
      <w:r w:rsidR="00080183">
        <w:rPr>
          <w:rFonts w:cs="Arial"/>
          <w:bCs/>
          <w:i/>
          <w:color w:val="0070C0"/>
          <w:sz w:val="20"/>
        </w:rPr>
        <w:t>é. Ainsi, les cellules « commentaires » pourront être plus commodément renseignées.</w:t>
      </w:r>
    </w:p>
    <w:p w14:paraId="3527C384" w14:textId="77777777" w:rsidR="006829D5" w:rsidRDefault="006829D5" w:rsidP="00713FF0">
      <w:pPr>
        <w:spacing w:before="0" w:beforeAutospacing="0" w:after="0" w:afterAutospacing="0"/>
        <w:jc w:val="both"/>
        <w:rPr>
          <w:rFonts w:cs="Arial"/>
          <w:bCs/>
          <w:sz w:val="20"/>
        </w:rPr>
      </w:pPr>
    </w:p>
    <w:p w14:paraId="6273ED53" w14:textId="0B040B07" w:rsidR="00713FF0" w:rsidRPr="00713FF0" w:rsidRDefault="00713FF0" w:rsidP="00713FF0">
      <w:pPr>
        <w:spacing w:before="0" w:beforeAutospacing="0" w:after="0" w:afterAutospacing="0"/>
        <w:jc w:val="both"/>
        <w:rPr>
          <w:rFonts w:cs="Arial"/>
          <w:bCs/>
          <w:sz w:val="20"/>
        </w:rPr>
      </w:pPr>
      <w:r>
        <w:rPr>
          <w:rFonts w:cs="Arial"/>
          <w:bCs/>
          <w:sz w:val="20"/>
        </w:rPr>
        <w:t xml:space="preserve">Dans </w:t>
      </w:r>
      <w:r w:rsidRPr="00713FF0">
        <w:rPr>
          <w:rFonts w:cs="Arial"/>
          <w:bCs/>
          <w:sz w:val="20"/>
        </w:rPr>
        <w:t>une logique de renseignement par colonne</w:t>
      </w:r>
      <w:r>
        <w:rPr>
          <w:rFonts w:cs="Arial"/>
          <w:bCs/>
          <w:sz w:val="20"/>
        </w:rPr>
        <w:t xml:space="preserve"> (i.e. par instrument ou par titre)</w:t>
      </w:r>
      <w:r w:rsidRPr="00713FF0">
        <w:rPr>
          <w:rFonts w:cs="Arial"/>
          <w:bCs/>
          <w:sz w:val="20"/>
        </w:rPr>
        <w:t>, le re</w:t>
      </w:r>
      <w:r>
        <w:rPr>
          <w:rFonts w:cs="Arial"/>
          <w:bCs/>
          <w:sz w:val="20"/>
        </w:rPr>
        <w:t xml:space="preserve">nseignement des tableaux </w:t>
      </w:r>
      <w:r w:rsidRPr="00713FF0">
        <w:rPr>
          <w:rFonts w:cs="Arial"/>
          <w:bCs/>
          <w:sz w:val="20"/>
        </w:rPr>
        <w:t xml:space="preserve">du document doit respecter les règles suivantes : </w:t>
      </w:r>
    </w:p>
    <w:p w14:paraId="14647713" w14:textId="4D70DFF9" w:rsidR="00713FF0" w:rsidRPr="00713FF0" w:rsidRDefault="00713FF0" w:rsidP="00713FF0">
      <w:pPr>
        <w:pStyle w:val="Paragraphedeliste"/>
        <w:numPr>
          <w:ilvl w:val="0"/>
          <w:numId w:val="5"/>
        </w:numPr>
        <w:spacing w:before="0" w:beforeAutospacing="0" w:after="0" w:afterAutospacing="0"/>
        <w:rPr>
          <w:rFonts w:eastAsiaTheme="majorEastAsia" w:cs="Arial"/>
          <w:sz w:val="20"/>
          <w:lang w:eastAsia="en-US"/>
        </w:rPr>
      </w:pPr>
      <w:r w:rsidRPr="00713FF0">
        <w:rPr>
          <w:rFonts w:eastAsiaTheme="majorEastAsia" w:cs="Arial"/>
          <w:sz w:val="20"/>
          <w:lang w:eastAsia="en-US"/>
        </w:rPr>
        <w:t xml:space="preserve">Seules les cellules bleues </w:t>
      </w:r>
      <w:r w:rsidR="002F6E8F">
        <w:rPr>
          <w:rFonts w:eastAsiaTheme="majorEastAsia" w:cs="Arial"/>
          <w:sz w:val="20"/>
          <w:lang w:eastAsia="en-US"/>
        </w:rPr>
        <w:t xml:space="preserve">doivent </w:t>
      </w:r>
      <w:r w:rsidRPr="00713FF0">
        <w:rPr>
          <w:rFonts w:eastAsiaTheme="majorEastAsia" w:cs="Arial"/>
          <w:sz w:val="20"/>
          <w:lang w:eastAsia="en-US"/>
        </w:rPr>
        <w:t>être renseignées</w:t>
      </w:r>
      <w:r w:rsidR="002F6E8F">
        <w:rPr>
          <w:rFonts w:eastAsiaTheme="majorEastAsia" w:cs="Arial"/>
          <w:sz w:val="20"/>
          <w:lang w:eastAsia="en-US"/>
        </w:rPr>
        <w:t> ;</w:t>
      </w:r>
    </w:p>
    <w:p w14:paraId="6D38D949" w14:textId="77777777" w:rsidR="00713FF0" w:rsidRPr="00713FF0" w:rsidRDefault="00713FF0" w:rsidP="00713FF0">
      <w:pPr>
        <w:pStyle w:val="Paragraphedeliste"/>
        <w:numPr>
          <w:ilvl w:val="0"/>
          <w:numId w:val="5"/>
        </w:numPr>
        <w:spacing w:before="0" w:beforeAutospacing="0" w:after="0" w:afterAutospacing="0"/>
        <w:rPr>
          <w:rFonts w:eastAsiaTheme="majorEastAsia" w:cs="Arial"/>
          <w:sz w:val="20"/>
          <w:lang w:eastAsia="en-US"/>
        </w:rPr>
      </w:pPr>
      <w:r w:rsidRPr="00713FF0">
        <w:rPr>
          <w:rFonts w:eastAsiaTheme="majorEastAsia" w:cs="Arial"/>
          <w:sz w:val="20"/>
          <w:lang w:eastAsia="en-US"/>
        </w:rPr>
        <w:lastRenderedPageBreak/>
        <w:t>Les zones grisées ne sont pas à compléter ;</w:t>
      </w:r>
    </w:p>
    <w:p w14:paraId="38F4A701" w14:textId="0BCC513B" w:rsidR="00713FF0" w:rsidRPr="00713FF0" w:rsidRDefault="00713FF0" w:rsidP="00713FF0">
      <w:pPr>
        <w:pStyle w:val="Paragraphedeliste"/>
        <w:numPr>
          <w:ilvl w:val="0"/>
          <w:numId w:val="5"/>
        </w:numPr>
        <w:spacing w:before="0" w:beforeAutospacing="0" w:after="0" w:afterAutospacing="0"/>
        <w:rPr>
          <w:rFonts w:eastAsiaTheme="majorEastAsia" w:cs="Arial"/>
          <w:sz w:val="20"/>
          <w:lang w:eastAsia="en-US"/>
        </w:rPr>
      </w:pPr>
      <w:r w:rsidRPr="00713FF0">
        <w:rPr>
          <w:rFonts w:eastAsiaTheme="majorEastAsia" w:cs="Arial"/>
          <w:sz w:val="20"/>
          <w:lang w:eastAsia="en-US"/>
        </w:rPr>
        <w:t xml:space="preserve">Pour chacune des lignes, les caractéristiques des champs sont précisées en « fin de ligne » dans le fichier Excel (numérique –E(X), nombre entier de </w:t>
      </w:r>
      <w:r w:rsidR="00994E8D">
        <w:rPr>
          <w:rFonts w:eastAsiaTheme="majorEastAsia" w:cs="Arial"/>
          <w:sz w:val="20"/>
          <w:lang w:eastAsia="en-US"/>
        </w:rPr>
        <w:t xml:space="preserve">longueur maximale de </w:t>
      </w:r>
      <w:r w:rsidRPr="00713FF0">
        <w:rPr>
          <w:rFonts w:eastAsiaTheme="majorEastAsia" w:cs="Arial"/>
          <w:sz w:val="20"/>
          <w:lang w:eastAsia="en-US"/>
        </w:rPr>
        <w:t>X chiffres-, alphanumérique –AN(X), suite de caractères alpha numériques de longueur X, …)</w:t>
      </w:r>
    </w:p>
    <w:p w14:paraId="3BB21CF8" w14:textId="41D1BDE9" w:rsidR="0092730B" w:rsidRPr="00713FF0" w:rsidRDefault="0092730B" w:rsidP="00713FF0">
      <w:pPr>
        <w:autoSpaceDE w:val="0"/>
        <w:autoSpaceDN w:val="0"/>
        <w:adjustRightInd w:val="0"/>
        <w:spacing w:before="0" w:beforeAutospacing="0" w:after="0" w:afterAutospacing="0"/>
        <w:jc w:val="both"/>
        <w:rPr>
          <w:rFonts w:cs="Arial"/>
          <w:sz w:val="20"/>
        </w:rPr>
      </w:pPr>
    </w:p>
    <w:p w14:paraId="60834756" w14:textId="77EDB4BA" w:rsidR="000B5F02" w:rsidRDefault="000B5F02" w:rsidP="00C26BA3">
      <w:pPr>
        <w:pStyle w:val="Titre3"/>
        <w:numPr>
          <w:ilvl w:val="0"/>
          <w:numId w:val="0"/>
        </w:numPr>
      </w:pPr>
      <w:bookmarkStart w:id="17" w:name="_Toc158133140"/>
      <w:r>
        <w:t>2.1.1. Onglet « Activité »</w:t>
      </w:r>
      <w:bookmarkEnd w:id="17"/>
    </w:p>
    <w:p w14:paraId="1F517C57" w14:textId="354C27CE" w:rsidR="00D92318" w:rsidRPr="002F6E8F" w:rsidRDefault="00713FF0" w:rsidP="002F6E8F">
      <w:pPr>
        <w:spacing w:after="0" w:afterAutospacing="0"/>
        <w:jc w:val="both"/>
        <w:rPr>
          <w:rFonts w:cs="Arial"/>
          <w:bCs/>
          <w:sz w:val="20"/>
        </w:rPr>
      </w:pPr>
      <w:r w:rsidRPr="002F6E8F">
        <w:rPr>
          <w:rFonts w:cs="Arial"/>
          <w:bCs/>
          <w:sz w:val="20"/>
        </w:rPr>
        <w:t>Les informations rapportées dans la colonne « Définition » précise</w:t>
      </w:r>
      <w:r w:rsidR="002F6E8F">
        <w:rPr>
          <w:rFonts w:cs="Arial"/>
          <w:bCs/>
          <w:sz w:val="20"/>
        </w:rPr>
        <w:t>nt</w:t>
      </w:r>
      <w:r w:rsidRPr="002F6E8F">
        <w:rPr>
          <w:rFonts w:cs="Arial"/>
          <w:bCs/>
          <w:sz w:val="20"/>
        </w:rPr>
        <w:t xml:space="preserve"> les attendus de l’IEOM en termes de renseignement des différentes cellules du tableau</w:t>
      </w:r>
      <w:r w:rsidR="00B6552C" w:rsidRPr="002F6E8F">
        <w:rPr>
          <w:rFonts w:cs="Arial"/>
          <w:bCs/>
          <w:sz w:val="20"/>
        </w:rPr>
        <w:t xml:space="preserve"> </w:t>
      </w:r>
      <w:r w:rsidR="006870C6">
        <w:rPr>
          <w:rFonts w:cs="Arial"/>
          <w:bCs/>
          <w:sz w:val="20"/>
        </w:rPr>
        <w:t xml:space="preserve">de l’onglet </w:t>
      </w:r>
      <w:r w:rsidR="00B6552C" w:rsidRPr="002F6E8F">
        <w:rPr>
          <w:rFonts w:cs="Arial"/>
          <w:bCs/>
          <w:sz w:val="20"/>
        </w:rPr>
        <w:t>«</w:t>
      </w:r>
      <w:r w:rsidR="00B6552C">
        <w:rPr>
          <w:rFonts w:cs="Arial"/>
          <w:bCs/>
          <w:sz w:val="20"/>
        </w:rPr>
        <w:t> Activité</w:t>
      </w:r>
      <w:r w:rsidR="002F6E8F">
        <w:rPr>
          <w:rFonts w:cs="Arial"/>
          <w:bCs/>
          <w:sz w:val="20"/>
        </w:rPr>
        <w:t> »</w:t>
      </w:r>
      <w:r w:rsidRPr="002F6E8F">
        <w:rPr>
          <w:rFonts w:cs="Arial"/>
          <w:bCs/>
          <w:sz w:val="20"/>
        </w:rPr>
        <w:t xml:space="preserve">. </w:t>
      </w:r>
    </w:p>
    <w:p w14:paraId="37E61C4E" w14:textId="6F319E48" w:rsidR="009562B3" w:rsidRPr="002F6E8F" w:rsidRDefault="009562B3" w:rsidP="002F6E8F">
      <w:pPr>
        <w:autoSpaceDE w:val="0"/>
        <w:autoSpaceDN w:val="0"/>
        <w:adjustRightInd w:val="0"/>
        <w:spacing w:before="0" w:beforeAutospacing="0" w:after="0" w:afterAutospacing="0"/>
        <w:jc w:val="both"/>
        <w:rPr>
          <w:rFonts w:cs="Arial"/>
          <w:sz w:val="20"/>
        </w:rPr>
      </w:pPr>
    </w:p>
    <w:tbl>
      <w:tblPr>
        <w:tblStyle w:val="Grilledutableau"/>
        <w:tblW w:w="0" w:type="auto"/>
        <w:tblLook w:val="04A0" w:firstRow="1" w:lastRow="0" w:firstColumn="1" w:lastColumn="0" w:noHBand="0" w:noVBand="1"/>
      </w:tblPr>
      <w:tblGrid>
        <w:gridCol w:w="704"/>
        <w:gridCol w:w="2920"/>
        <w:gridCol w:w="3175"/>
        <w:gridCol w:w="1276"/>
        <w:gridCol w:w="985"/>
      </w:tblGrid>
      <w:tr w:rsidR="0092730B" w:rsidRPr="001F0BE5" w14:paraId="3E7470B4" w14:textId="77777777" w:rsidTr="002F6E8F">
        <w:tc>
          <w:tcPr>
            <w:tcW w:w="704" w:type="dxa"/>
          </w:tcPr>
          <w:p w14:paraId="6E78C7C6" w14:textId="77777777" w:rsidR="0092730B" w:rsidRPr="001F0BE5" w:rsidRDefault="0092730B" w:rsidP="00B6552C">
            <w:pPr>
              <w:autoSpaceDE w:val="0"/>
              <w:autoSpaceDN w:val="0"/>
              <w:adjustRightInd w:val="0"/>
              <w:jc w:val="center"/>
              <w:rPr>
                <w:rFonts w:ascii="Tahoma" w:hAnsi="Tahoma" w:cs="Tahoma"/>
                <w:sz w:val="14"/>
                <w:szCs w:val="14"/>
              </w:rPr>
            </w:pPr>
            <w:r w:rsidRPr="001F0BE5">
              <w:rPr>
                <w:rFonts w:ascii="Tahoma" w:hAnsi="Tahoma" w:cs="Tahoma"/>
                <w:sz w:val="14"/>
                <w:szCs w:val="14"/>
              </w:rPr>
              <w:t>N° ligne</w:t>
            </w:r>
          </w:p>
        </w:tc>
        <w:tc>
          <w:tcPr>
            <w:tcW w:w="2920" w:type="dxa"/>
          </w:tcPr>
          <w:p w14:paraId="2A94D989" w14:textId="77777777" w:rsidR="0092730B" w:rsidRPr="001F0BE5" w:rsidRDefault="0092730B" w:rsidP="002F6E8F">
            <w:pPr>
              <w:autoSpaceDE w:val="0"/>
              <w:autoSpaceDN w:val="0"/>
              <w:adjustRightInd w:val="0"/>
              <w:jc w:val="center"/>
              <w:rPr>
                <w:rFonts w:ascii="Tahoma" w:hAnsi="Tahoma" w:cs="Tahoma"/>
                <w:sz w:val="14"/>
                <w:szCs w:val="14"/>
              </w:rPr>
            </w:pPr>
            <w:r>
              <w:rPr>
                <w:rFonts w:ascii="Tahoma" w:hAnsi="Tahoma" w:cs="Tahoma"/>
                <w:sz w:val="14"/>
                <w:szCs w:val="14"/>
              </w:rPr>
              <w:t>Intitulé</w:t>
            </w:r>
          </w:p>
        </w:tc>
        <w:tc>
          <w:tcPr>
            <w:tcW w:w="3175" w:type="dxa"/>
          </w:tcPr>
          <w:p w14:paraId="2B6A381C" w14:textId="77777777" w:rsidR="0092730B" w:rsidRPr="001F0BE5" w:rsidRDefault="0092730B" w:rsidP="002F6E8F">
            <w:pPr>
              <w:autoSpaceDE w:val="0"/>
              <w:autoSpaceDN w:val="0"/>
              <w:adjustRightInd w:val="0"/>
              <w:jc w:val="center"/>
              <w:rPr>
                <w:rFonts w:ascii="Tahoma" w:hAnsi="Tahoma" w:cs="Tahoma"/>
                <w:sz w:val="14"/>
                <w:szCs w:val="14"/>
              </w:rPr>
            </w:pPr>
            <w:r>
              <w:rPr>
                <w:rFonts w:ascii="Tahoma" w:hAnsi="Tahoma" w:cs="Tahoma"/>
                <w:sz w:val="14"/>
                <w:szCs w:val="14"/>
              </w:rPr>
              <w:t>Définition</w:t>
            </w:r>
          </w:p>
        </w:tc>
        <w:tc>
          <w:tcPr>
            <w:tcW w:w="1276" w:type="dxa"/>
          </w:tcPr>
          <w:p w14:paraId="24F74DC2" w14:textId="77777777" w:rsidR="0092730B" w:rsidRPr="001F0BE5" w:rsidRDefault="0092730B" w:rsidP="002F6E8F">
            <w:pPr>
              <w:autoSpaceDE w:val="0"/>
              <w:autoSpaceDN w:val="0"/>
              <w:adjustRightInd w:val="0"/>
              <w:jc w:val="center"/>
              <w:rPr>
                <w:rFonts w:ascii="Tahoma" w:hAnsi="Tahoma" w:cs="Tahoma"/>
                <w:sz w:val="14"/>
                <w:szCs w:val="14"/>
              </w:rPr>
            </w:pPr>
            <w:r>
              <w:rPr>
                <w:rFonts w:ascii="Tahoma" w:hAnsi="Tahoma" w:cs="Tahoma"/>
                <w:sz w:val="14"/>
                <w:szCs w:val="14"/>
              </w:rPr>
              <w:t>Caractéristique (Papier ou Digital)</w:t>
            </w:r>
          </w:p>
        </w:tc>
        <w:tc>
          <w:tcPr>
            <w:tcW w:w="985" w:type="dxa"/>
          </w:tcPr>
          <w:p w14:paraId="3E6EDF2C" w14:textId="77777777" w:rsidR="0092730B" w:rsidRPr="001F0BE5" w:rsidRDefault="0092730B" w:rsidP="002F6E8F">
            <w:pPr>
              <w:autoSpaceDE w:val="0"/>
              <w:autoSpaceDN w:val="0"/>
              <w:adjustRightInd w:val="0"/>
              <w:jc w:val="center"/>
              <w:rPr>
                <w:rFonts w:ascii="Tahoma" w:hAnsi="Tahoma" w:cs="Tahoma"/>
                <w:sz w:val="14"/>
                <w:szCs w:val="14"/>
              </w:rPr>
            </w:pPr>
            <w:r>
              <w:rPr>
                <w:rFonts w:ascii="Tahoma" w:hAnsi="Tahoma" w:cs="Tahoma"/>
                <w:sz w:val="14"/>
                <w:szCs w:val="14"/>
              </w:rPr>
              <w:t>Format des champs</w:t>
            </w:r>
          </w:p>
        </w:tc>
      </w:tr>
      <w:tr w:rsidR="0092730B" w:rsidRPr="001F0BE5" w14:paraId="368E1940" w14:textId="77777777" w:rsidTr="002F6E8F">
        <w:tc>
          <w:tcPr>
            <w:tcW w:w="704" w:type="dxa"/>
          </w:tcPr>
          <w:p w14:paraId="14147B71" w14:textId="77777777" w:rsidR="0092730B" w:rsidRPr="001F0BE5" w:rsidRDefault="0092730B" w:rsidP="002F6E8F">
            <w:pPr>
              <w:autoSpaceDE w:val="0"/>
              <w:autoSpaceDN w:val="0"/>
              <w:adjustRightInd w:val="0"/>
              <w:jc w:val="both"/>
              <w:rPr>
                <w:rFonts w:ascii="Tahoma" w:hAnsi="Tahoma" w:cs="Tahoma"/>
                <w:sz w:val="14"/>
                <w:szCs w:val="14"/>
              </w:rPr>
            </w:pPr>
          </w:p>
        </w:tc>
        <w:tc>
          <w:tcPr>
            <w:tcW w:w="2920" w:type="dxa"/>
          </w:tcPr>
          <w:p w14:paraId="70D04D8D" w14:textId="77777777" w:rsidR="0092730B" w:rsidRPr="001F0BE5" w:rsidRDefault="0092730B" w:rsidP="002F6E8F">
            <w:pPr>
              <w:autoSpaceDE w:val="0"/>
              <w:autoSpaceDN w:val="0"/>
              <w:adjustRightInd w:val="0"/>
              <w:jc w:val="both"/>
              <w:rPr>
                <w:rFonts w:ascii="Tahoma" w:hAnsi="Tahoma" w:cs="Tahoma"/>
                <w:sz w:val="14"/>
                <w:szCs w:val="14"/>
              </w:rPr>
            </w:pPr>
            <w:r w:rsidRPr="001F0BE5">
              <w:rPr>
                <w:rFonts w:ascii="Tahoma" w:hAnsi="Tahoma" w:cs="Tahoma"/>
                <w:sz w:val="14"/>
                <w:szCs w:val="14"/>
              </w:rPr>
              <w:t>Nom commercial du titre</w:t>
            </w:r>
          </w:p>
        </w:tc>
        <w:tc>
          <w:tcPr>
            <w:tcW w:w="3175" w:type="dxa"/>
          </w:tcPr>
          <w:p w14:paraId="023C2093" w14:textId="77777777" w:rsidR="0092730B" w:rsidRPr="001F0BE5" w:rsidRDefault="0092730B" w:rsidP="002F6E8F">
            <w:pPr>
              <w:autoSpaceDE w:val="0"/>
              <w:autoSpaceDN w:val="0"/>
              <w:adjustRightInd w:val="0"/>
              <w:jc w:val="both"/>
              <w:rPr>
                <w:rFonts w:ascii="Tahoma" w:hAnsi="Tahoma" w:cs="Tahoma"/>
                <w:sz w:val="14"/>
                <w:szCs w:val="14"/>
              </w:rPr>
            </w:pPr>
          </w:p>
        </w:tc>
        <w:tc>
          <w:tcPr>
            <w:tcW w:w="1276" w:type="dxa"/>
          </w:tcPr>
          <w:p w14:paraId="57BA4EBD" w14:textId="77777777" w:rsidR="0092730B" w:rsidRPr="001F0BE5" w:rsidRDefault="0092730B" w:rsidP="002F6E8F">
            <w:pPr>
              <w:autoSpaceDE w:val="0"/>
              <w:autoSpaceDN w:val="0"/>
              <w:adjustRightInd w:val="0"/>
              <w:jc w:val="both"/>
              <w:rPr>
                <w:rFonts w:ascii="Tahoma" w:hAnsi="Tahoma" w:cs="Tahoma"/>
                <w:sz w:val="14"/>
                <w:szCs w:val="14"/>
              </w:rPr>
            </w:pPr>
          </w:p>
        </w:tc>
        <w:tc>
          <w:tcPr>
            <w:tcW w:w="985" w:type="dxa"/>
          </w:tcPr>
          <w:p w14:paraId="216B905E" w14:textId="77777777" w:rsidR="0092730B" w:rsidRPr="001F0BE5" w:rsidRDefault="0092730B" w:rsidP="002F6E8F">
            <w:pPr>
              <w:autoSpaceDE w:val="0"/>
              <w:autoSpaceDN w:val="0"/>
              <w:adjustRightInd w:val="0"/>
              <w:jc w:val="both"/>
              <w:rPr>
                <w:rFonts w:ascii="Tahoma" w:hAnsi="Tahoma" w:cs="Tahoma"/>
                <w:sz w:val="14"/>
                <w:szCs w:val="14"/>
              </w:rPr>
            </w:pPr>
            <w:r>
              <w:rPr>
                <w:rFonts w:ascii="Tahoma" w:hAnsi="Tahoma" w:cs="Tahoma"/>
                <w:sz w:val="14"/>
                <w:szCs w:val="14"/>
              </w:rPr>
              <w:t>AN (50)</w:t>
            </w:r>
          </w:p>
        </w:tc>
      </w:tr>
      <w:tr w:rsidR="00D913CC" w:rsidRPr="001F0BE5" w14:paraId="5D4387D7" w14:textId="77777777" w:rsidTr="002F6E8F">
        <w:tc>
          <w:tcPr>
            <w:tcW w:w="704" w:type="dxa"/>
          </w:tcPr>
          <w:p w14:paraId="046B8173" w14:textId="77777777" w:rsidR="00D913CC" w:rsidRPr="001F0BE5" w:rsidRDefault="00D913CC" w:rsidP="00D913CC">
            <w:pPr>
              <w:autoSpaceDE w:val="0"/>
              <w:autoSpaceDN w:val="0"/>
              <w:adjustRightInd w:val="0"/>
              <w:jc w:val="both"/>
              <w:rPr>
                <w:rFonts w:ascii="Tahoma" w:hAnsi="Tahoma" w:cs="Tahoma"/>
                <w:sz w:val="14"/>
                <w:szCs w:val="14"/>
              </w:rPr>
            </w:pPr>
          </w:p>
        </w:tc>
        <w:tc>
          <w:tcPr>
            <w:tcW w:w="2920" w:type="dxa"/>
            <w:vAlign w:val="center"/>
          </w:tcPr>
          <w:p w14:paraId="2B51BA0C"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color w:val="000000"/>
                <w:sz w:val="14"/>
                <w:szCs w:val="14"/>
              </w:rPr>
              <w:t>Nature juridique (TSPD, IPS, CESU)</w:t>
            </w:r>
          </w:p>
        </w:tc>
        <w:tc>
          <w:tcPr>
            <w:tcW w:w="3175" w:type="dxa"/>
          </w:tcPr>
          <w:p w14:paraId="795B2AB5" w14:textId="0EAC11E8" w:rsidR="00D913CC" w:rsidRPr="001F0BE5" w:rsidRDefault="00D913CC" w:rsidP="00D913CC">
            <w:pPr>
              <w:autoSpaceDE w:val="0"/>
              <w:autoSpaceDN w:val="0"/>
              <w:adjustRightInd w:val="0"/>
              <w:jc w:val="both"/>
              <w:rPr>
                <w:rFonts w:ascii="Tahoma" w:hAnsi="Tahoma" w:cs="Tahoma"/>
                <w:sz w:val="14"/>
                <w:szCs w:val="14"/>
              </w:rPr>
            </w:pPr>
            <w:r w:rsidRPr="001D6508">
              <w:rPr>
                <w:rFonts w:ascii="Tahoma" w:hAnsi="Tahoma" w:cs="Tahoma"/>
                <w:i/>
                <w:color w:val="0070C0"/>
                <w:sz w:val="14"/>
                <w:szCs w:val="14"/>
              </w:rPr>
              <w:t>Préciser la nature juridique de l’instrument : TSPD, IPS ou CESU</w:t>
            </w:r>
          </w:p>
        </w:tc>
        <w:tc>
          <w:tcPr>
            <w:tcW w:w="1276" w:type="dxa"/>
          </w:tcPr>
          <w:p w14:paraId="3982657B" w14:textId="77777777" w:rsidR="00D913CC" w:rsidRPr="001F0BE5" w:rsidRDefault="00D913CC" w:rsidP="00D913CC">
            <w:pPr>
              <w:autoSpaceDE w:val="0"/>
              <w:autoSpaceDN w:val="0"/>
              <w:adjustRightInd w:val="0"/>
              <w:jc w:val="both"/>
              <w:rPr>
                <w:rFonts w:ascii="Tahoma" w:hAnsi="Tahoma" w:cs="Tahoma"/>
                <w:sz w:val="14"/>
                <w:szCs w:val="14"/>
              </w:rPr>
            </w:pPr>
          </w:p>
        </w:tc>
        <w:tc>
          <w:tcPr>
            <w:tcW w:w="985" w:type="dxa"/>
          </w:tcPr>
          <w:p w14:paraId="5A7BDFBF"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Liste : TSPD, IPS ou CESU</w:t>
            </w:r>
          </w:p>
        </w:tc>
      </w:tr>
      <w:tr w:rsidR="00D913CC" w:rsidRPr="001F0BE5" w14:paraId="227F7E29" w14:textId="77777777" w:rsidTr="002F6E8F">
        <w:tc>
          <w:tcPr>
            <w:tcW w:w="704" w:type="dxa"/>
          </w:tcPr>
          <w:p w14:paraId="02BF1AB3" w14:textId="77777777" w:rsidR="00D913CC" w:rsidRPr="001F0BE5" w:rsidRDefault="00D913CC" w:rsidP="00D913CC">
            <w:pPr>
              <w:autoSpaceDE w:val="0"/>
              <w:autoSpaceDN w:val="0"/>
              <w:adjustRightInd w:val="0"/>
              <w:jc w:val="both"/>
              <w:rPr>
                <w:rFonts w:ascii="Tahoma" w:hAnsi="Tahoma" w:cs="Tahoma"/>
                <w:sz w:val="14"/>
                <w:szCs w:val="14"/>
              </w:rPr>
            </w:pPr>
          </w:p>
        </w:tc>
        <w:tc>
          <w:tcPr>
            <w:tcW w:w="2920" w:type="dxa"/>
          </w:tcPr>
          <w:p w14:paraId="78700576"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color w:val="000000"/>
                <w:sz w:val="14"/>
                <w:szCs w:val="14"/>
              </w:rPr>
              <w:t>Format (Digital ou papier)</w:t>
            </w:r>
          </w:p>
        </w:tc>
        <w:tc>
          <w:tcPr>
            <w:tcW w:w="3175" w:type="dxa"/>
          </w:tcPr>
          <w:p w14:paraId="7C8E8829" w14:textId="46C3751A" w:rsidR="00D913CC" w:rsidRPr="001F0BE5" w:rsidRDefault="00D913CC" w:rsidP="00D913CC">
            <w:pPr>
              <w:autoSpaceDE w:val="0"/>
              <w:autoSpaceDN w:val="0"/>
              <w:adjustRightInd w:val="0"/>
              <w:jc w:val="both"/>
              <w:rPr>
                <w:rFonts w:ascii="Tahoma" w:hAnsi="Tahoma" w:cs="Tahoma"/>
                <w:sz w:val="14"/>
                <w:szCs w:val="14"/>
              </w:rPr>
            </w:pPr>
            <w:r w:rsidRPr="001D6508">
              <w:rPr>
                <w:rFonts w:ascii="Tahoma" w:hAnsi="Tahoma" w:cs="Tahoma"/>
                <w:i/>
                <w:color w:val="0070C0"/>
                <w:sz w:val="14"/>
                <w:szCs w:val="14"/>
              </w:rPr>
              <w:t>Préciser le format de l’instrument : digital ou papier</w:t>
            </w:r>
          </w:p>
        </w:tc>
        <w:tc>
          <w:tcPr>
            <w:tcW w:w="1276" w:type="dxa"/>
          </w:tcPr>
          <w:p w14:paraId="030A8D40" w14:textId="77777777" w:rsidR="00D913CC" w:rsidRPr="001F0BE5" w:rsidRDefault="00D913CC" w:rsidP="00D913CC">
            <w:pPr>
              <w:autoSpaceDE w:val="0"/>
              <w:autoSpaceDN w:val="0"/>
              <w:adjustRightInd w:val="0"/>
              <w:jc w:val="both"/>
              <w:rPr>
                <w:rFonts w:ascii="Tahoma" w:hAnsi="Tahoma" w:cs="Tahoma"/>
                <w:sz w:val="14"/>
                <w:szCs w:val="14"/>
              </w:rPr>
            </w:pPr>
          </w:p>
        </w:tc>
        <w:tc>
          <w:tcPr>
            <w:tcW w:w="985" w:type="dxa"/>
          </w:tcPr>
          <w:p w14:paraId="46D98992"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Liste : Digital ou Papier</w:t>
            </w:r>
          </w:p>
        </w:tc>
      </w:tr>
      <w:tr w:rsidR="00D913CC" w:rsidRPr="001F0BE5" w14:paraId="21D74E18" w14:textId="77777777" w:rsidTr="002F6E8F">
        <w:tc>
          <w:tcPr>
            <w:tcW w:w="704" w:type="dxa"/>
            <w:shd w:val="clear" w:color="auto" w:fill="B8CCE4" w:themeFill="accent1" w:themeFillTint="66"/>
          </w:tcPr>
          <w:p w14:paraId="1017A664"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1.</w:t>
            </w:r>
          </w:p>
        </w:tc>
        <w:tc>
          <w:tcPr>
            <w:tcW w:w="2920" w:type="dxa"/>
            <w:shd w:val="clear" w:color="auto" w:fill="B8CCE4" w:themeFill="accent1" w:themeFillTint="66"/>
          </w:tcPr>
          <w:p w14:paraId="76570658" w14:textId="77777777" w:rsidR="00D913CC" w:rsidRPr="00D03814" w:rsidRDefault="00D913CC" w:rsidP="00D913CC">
            <w:pPr>
              <w:autoSpaceDE w:val="0"/>
              <w:autoSpaceDN w:val="0"/>
              <w:adjustRightInd w:val="0"/>
              <w:jc w:val="both"/>
              <w:rPr>
                <w:rFonts w:ascii="Tahoma" w:hAnsi="Tahoma" w:cs="Tahoma"/>
                <w:sz w:val="14"/>
                <w:szCs w:val="14"/>
              </w:rPr>
            </w:pPr>
            <w:r w:rsidRPr="00D03814">
              <w:rPr>
                <w:rFonts w:ascii="Tahoma" w:hAnsi="Tahoma" w:cs="Tahoma"/>
                <w:bCs/>
                <w:sz w:val="14"/>
                <w:szCs w:val="14"/>
              </w:rPr>
              <w:t>Activité d’émission période sous revue</w:t>
            </w:r>
          </w:p>
        </w:tc>
        <w:tc>
          <w:tcPr>
            <w:tcW w:w="3175" w:type="dxa"/>
            <w:shd w:val="clear" w:color="auto" w:fill="B8CCE4" w:themeFill="accent1" w:themeFillTint="66"/>
          </w:tcPr>
          <w:p w14:paraId="039B4AC5" w14:textId="77777777" w:rsidR="00D913CC" w:rsidRPr="001F0BE5" w:rsidRDefault="00D913CC" w:rsidP="00D913CC">
            <w:pPr>
              <w:autoSpaceDE w:val="0"/>
              <w:autoSpaceDN w:val="0"/>
              <w:adjustRightInd w:val="0"/>
              <w:jc w:val="both"/>
              <w:rPr>
                <w:rFonts w:ascii="Tahoma" w:hAnsi="Tahoma" w:cs="Tahoma"/>
                <w:sz w:val="14"/>
                <w:szCs w:val="14"/>
              </w:rPr>
            </w:pPr>
          </w:p>
        </w:tc>
        <w:tc>
          <w:tcPr>
            <w:tcW w:w="1276" w:type="dxa"/>
            <w:shd w:val="clear" w:color="auto" w:fill="B8CCE4" w:themeFill="accent1" w:themeFillTint="66"/>
          </w:tcPr>
          <w:p w14:paraId="77901126" w14:textId="77777777" w:rsidR="00D913CC" w:rsidRPr="001F0BE5" w:rsidRDefault="00D913CC" w:rsidP="00D913CC">
            <w:pPr>
              <w:autoSpaceDE w:val="0"/>
              <w:autoSpaceDN w:val="0"/>
              <w:adjustRightInd w:val="0"/>
              <w:jc w:val="both"/>
              <w:rPr>
                <w:rFonts w:ascii="Tahoma" w:hAnsi="Tahoma" w:cs="Tahoma"/>
                <w:sz w:val="14"/>
                <w:szCs w:val="14"/>
              </w:rPr>
            </w:pPr>
          </w:p>
        </w:tc>
        <w:tc>
          <w:tcPr>
            <w:tcW w:w="985" w:type="dxa"/>
            <w:shd w:val="clear" w:color="auto" w:fill="B8CCE4" w:themeFill="accent1" w:themeFillTint="66"/>
          </w:tcPr>
          <w:p w14:paraId="6CEED7BD" w14:textId="77777777" w:rsidR="00D913CC" w:rsidRPr="001F0BE5" w:rsidRDefault="00D913CC" w:rsidP="00D913CC">
            <w:pPr>
              <w:autoSpaceDE w:val="0"/>
              <w:autoSpaceDN w:val="0"/>
              <w:adjustRightInd w:val="0"/>
              <w:jc w:val="both"/>
              <w:rPr>
                <w:rFonts w:ascii="Tahoma" w:hAnsi="Tahoma" w:cs="Tahoma"/>
                <w:sz w:val="14"/>
                <w:szCs w:val="14"/>
              </w:rPr>
            </w:pPr>
          </w:p>
        </w:tc>
      </w:tr>
      <w:tr w:rsidR="00D913CC" w:rsidRPr="001F0BE5" w14:paraId="20F9543F" w14:textId="77777777" w:rsidTr="002F6E8F">
        <w:tc>
          <w:tcPr>
            <w:tcW w:w="704" w:type="dxa"/>
            <w:shd w:val="clear" w:color="auto" w:fill="B8CCE4" w:themeFill="accent1" w:themeFillTint="66"/>
          </w:tcPr>
          <w:p w14:paraId="5BDBBFDD"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1.1.</w:t>
            </w:r>
          </w:p>
        </w:tc>
        <w:tc>
          <w:tcPr>
            <w:tcW w:w="2920" w:type="dxa"/>
            <w:shd w:val="clear" w:color="auto" w:fill="B8CCE4" w:themeFill="accent1" w:themeFillTint="66"/>
          </w:tcPr>
          <w:p w14:paraId="185C76A0"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Activité d'émission dans l'année</w:t>
            </w:r>
          </w:p>
        </w:tc>
        <w:tc>
          <w:tcPr>
            <w:tcW w:w="3175" w:type="dxa"/>
            <w:shd w:val="clear" w:color="auto" w:fill="B8CCE4" w:themeFill="accent1" w:themeFillTint="66"/>
          </w:tcPr>
          <w:p w14:paraId="2E3F9CD6" w14:textId="77777777" w:rsidR="00D913CC" w:rsidRPr="001F0BE5" w:rsidRDefault="00D913CC" w:rsidP="00D913CC">
            <w:pPr>
              <w:autoSpaceDE w:val="0"/>
              <w:autoSpaceDN w:val="0"/>
              <w:adjustRightInd w:val="0"/>
              <w:jc w:val="both"/>
              <w:rPr>
                <w:rFonts w:ascii="Tahoma" w:hAnsi="Tahoma" w:cs="Tahoma"/>
                <w:sz w:val="14"/>
                <w:szCs w:val="14"/>
              </w:rPr>
            </w:pPr>
          </w:p>
        </w:tc>
        <w:tc>
          <w:tcPr>
            <w:tcW w:w="1276" w:type="dxa"/>
            <w:shd w:val="clear" w:color="auto" w:fill="B8CCE4" w:themeFill="accent1" w:themeFillTint="66"/>
          </w:tcPr>
          <w:p w14:paraId="597086DF" w14:textId="77777777" w:rsidR="00D913CC" w:rsidRPr="001F0BE5" w:rsidRDefault="00D913CC" w:rsidP="00D913CC">
            <w:pPr>
              <w:autoSpaceDE w:val="0"/>
              <w:autoSpaceDN w:val="0"/>
              <w:adjustRightInd w:val="0"/>
              <w:jc w:val="both"/>
              <w:rPr>
                <w:rFonts w:ascii="Tahoma" w:hAnsi="Tahoma" w:cs="Tahoma"/>
                <w:sz w:val="14"/>
                <w:szCs w:val="14"/>
              </w:rPr>
            </w:pPr>
          </w:p>
        </w:tc>
        <w:tc>
          <w:tcPr>
            <w:tcW w:w="985" w:type="dxa"/>
            <w:shd w:val="clear" w:color="auto" w:fill="B8CCE4" w:themeFill="accent1" w:themeFillTint="66"/>
          </w:tcPr>
          <w:p w14:paraId="4CF2FDA4" w14:textId="77777777" w:rsidR="00D913CC" w:rsidRPr="001F0BE5" w:rsidRDefault="00D913CC" w:rsidP="00D913CC">
            <w:pPr>
              <w:autoSpaceDE w:val="0"/>
              <w:autoSpaceDN w:val="0"/>
              <w:adjustRightInd w:val="0"/>
              <w:jc w:val="both"/>
              <w:rPr>
                <w:rFonts w:ascii="Tahoma" w:hAnsi="Tahoma" w:cs="Tahoma"/>
                <w:sz w:val="14"/>
                <w:szCs w:val="14"/>
              </w:rPr>
            </w:pPr>
          </w:p>
        </w:tc>
      </w:tr>
      <w:tr w:rsidR="00D913CC" w:rsidRPr="001F0BE5" w14:paraId="32A0A437" w14:textId="77777777" w:rsidTr="002F6E8F">
        <w:tc>
          <w:tcPr>
            <w:tcW w:w="704" w:type="dxa"/>
          </w:tcPr>
          <w:p w14:paraId="1821BC4C"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1.1.1.</w:t>
            </w:r>
          </w:p>
        </w:tc>
        <w:tc>
          <w:tcPr>
            <w:tcW w:w="2920" w:type="dxa"/>
          </w:tcPr>
          <w:p w14:paraId="6141670E"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color w:val="000000"/>
                <w:sz w:val="14"/>
                <w:szCs w:val="14"/>
              </w:rPr>
              <w:t>Nombre de financeurs</w:t>
            </w:r>
          </w:p>
        </w:tc>
        <w:tc>
          <w:tcPr>
            <w:tcW w:w="3175" w:type="dxa"/>
          </w:tcPr>
          <w:p w14:paraId="251B6DD0" w14:textId="5618E6A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Nombre de clients directs de l’émetteur (CSE, employeurs, …).</w:t>
            </w:r>
          </w:p>
        </w:tc>
        <w:tc>
          <w:tcPr>
            <w:tcW w:w="1276" w:type="dxa"/>
          </w:tcPr>
          <w:p w14:paraId="2850835B" w14:textId="77777777" w:rsidR="00D913CC" w:rsidRPr="001F0BE5" w:rsidRDefault="00D913CC" w:rsidP="00D913CC">
            <w:pPr>
              <w:autoSpaceDE w:val="0"/>
              <w:autoSpaceDN w:val="0"/>
              <w:adjustRightInd w:val="0"/>
              <w:jc w:val="both"/>
              <w:rPr>
                <w:rFonts w:ascii="Tahoma" w:hAnsi="Tahoma" w:cs="Tahoma"/>
                <w:sz w:val="14"/>
                <w:szCs w:val="14"/>
              </w:rPr>
            </w:pPr>
          </w:p>
        </w:tc>
        <w:tc>
          <w:tcPr>
            <w:tcW w:w="985" w:type="dxa"/>
          </w:tcPr>
          <w:p w14:paraId="33CBF5C7" w14:textId="77777777" w:rsidR="00D913CC" w:rsidRPr="00180EB5" w:rsidRDefault="00D913CC" w:rsidP="00D913CC">
            <w:pPr>
              <w:autoSpaceDE w:val="0"/>
              <w:autoSpaceDN w:val="0"/>
              <w:adjustRightInd w:val="0"/>
              <w:jc w:val="both"/>
              <w:rPr>
                <w:rFonts w:ascii="Tahoma" w:hAnsi="Tahoma" w:cs="Tahoma"/>
                <w:sz w:val="14"/>
                <w:szCs w:val="14"/>
                <w:highlight w:val="yellow"/>
              </w:rPr>
            </w:pPr>
            <w:r w:rsidRPr="00D913CC">
              <w:rPr>
                <w:rFonts w:ascii="Tahoma" w:hAnsi="Tahoma" w:cs="Tahoma"/>
                <w:sz w:val="14"/>
                <w:szCs w:val="14"/>
              </w:rPr>
              <w:t>E (10)</w:t>
            </w:r>
          </w:p>
        </w:tc>
      </w:tr>
      <w:tr w:rsidR="00D913CC" w:rsidRPr="001F0BE5" w14:paraId="7E343E42" w14:textId="77777777" w:rsidTr="002F6E8F">
        <w:tc>
          <w:tcPr>
            <w:tcW w:w="704" w:type="dxa"/>
          </w:tcPr>
          <w:p w14:paraId="57C8B269"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1.1.2.</w:t>
            </w:r>
          </w:p>
        </w:tc>
        <w:tc>
          <w:tcPr>
            <w:tcW w:w="2920" w:type="dxa"/>
          </w:tcPr>
          <w:p w14:paraId="49715D94" w14:textId="77777777" w:rsidR="00D913CC" w:rsidRPr="001F0BE5" w:rsidRDefault="00D913CC" w:rsidP="00D913CC">
            <w:pPr>
              <w:autoSpaceDE w:val="0"/>
              <w:autoSpaceDN w:val="0"/>
              <w:adjustRightInd w:val="0"/>
              <w:jc w:val="both"/>
              <w:rPr>
                <w:rFonts w:ascii="Tahoma" w:hAnsi="Tahoma" w:cs="Tahoma"/>
                <w:color w:val="000000"/>
                <w:sz w:val="14"/>
                <w:szCs w:val="14"/>
              </w:rPr>
            </w:pPr>
            <w:r w:rsidRPr="001F0BE5">
              <w:rPr>
                <w:rFonts w:ascii="Tahoma" w:hAnsi="Tahoma" w:cs="Tahoma"/>
                <w:color w:val="000000"/>
                <w:sz w:val="14"/>
                <w:szCs w:val="14"/>
              </w:rPr>
              <w:t>Nombre de bénéficiaires</w:t>
            </w:r>
          </w:p>
        </w:tc>
        <w:tc>
          <w:tcPr>
            <w:tcW w:w="3175" w:type="dxa"/>
          </w:tcPr>
          <w:p w14:paraId="1D1FE523"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Nombre de bénéficiaires finaux des titres, utilisateurs des titres pour payer des B&amp;S, distribués par les financeurs.</w:t>
            </w:r>
          </w:p>
        </w:tc>
        <w:tc>
          <w:tcPr>
            <w:tcW w:w="1276" w:type="dxa"/>
          </w:tcPr>
          <w:p w14:paraId="6BA6388B" w14:textId="77777777" w:rsidR="00D913CC" w:rsidRPr="001F0BE5" w:rsidRDefault="00D913CC" w:rsidP="00D913CC">
            <w:pPr>
              <w:autoSpaceDE w:val="0"/>
              <w:autoSpaceDN w:val="0"/>
              <w:adjustRightInd w:val="0"/>
              <w:jc w:val="both"/>
              <w:rPr>
                <w:rFonts w:ascii="Tahoma" w:hAnsi="Tahoma" w:cs="Tahoma"/>
                <w:sz w:val="14"/>
                <w:szCs w:val="14"/>
              </w:rPr>
            </w:pPr>
          </w:p>
        </w:tc>
        <w:tc>
          <w:tcPr>
            <w:tcW w:w="985" w:type="dxa"/>
          </w:tcPr>
          <w:p w14:paraId="62D41B9D" w14:textId="7BF56A5E" w:rsidR="00D913CC" w:rsidRPr="00D913CC" w:rsidRDefault="00D913CC" w:rsidP="00D913CC">
            <w:pPr>
              <w:autoSpaceDE w:val="0"/>
              <w:autoSpaceDN w:val="0"/>
              <w:adjustRightInd w:val="0"/>
              <w:jc w:val="both"/>
              <w:rPr>
                <w:rFonts w:ascii="Tahoma" w:hAnsi="Tahoma" w:cs="Tahoma"/>
                <w:sz w:val="14"/>
                <w:szCs w:val="14"/>
              </w:rPr>
            </w:pPr>
            <w:r w:rsidRPr="00D913CC">
              <w:rPr>
                <w:rFonts w:ascii="Tahoma" w:hAnsi="Tahoma" w:cs="Tahoma"/>
                <w:sz w:val="14"/>
                <w:szCs w:val="14"/>
              </w:rPr>
              <w:t>E (</w:t>
            </w:r>
            <w:r w:rsidRPr="00D913CC">
              <w:rPr>
                <w:rFonts w:ascii="Tahoma" w:hAnsi="Tahoma" w:cs="Tahoma"/>
                <w:i/>
                <w:color w:val="0070C0"/>
                <w:sz w:val="14"/>
                <w:szCs w:val="14"/>
              </w:rPr>
              <w:t>10</w:t>
            </w:r>
            <w:r w:rsidRPr="00D913CC">
              <w:rPr>
                <w:rFonts w:ascii="Tahoma" w:hAnsi="Tahoma" w:cs="Tahoma"/>
                <w:sz w:val="14"/>
                <w:szCs w:val="14"/>
              </w:rPr>
              <w:t>)</w:t>
            </w:r>
          </w:p>
        </w:tc>
      </w:tr>
      <w:tr w:rsidR="00D913CC" w:rsidRPr="001F0BE5" w14:paraId="22038CFB" w14:textId="77777777" w:rsidTr="002F6E8F">
        <w:tc>
          <w:tcPr>
            <w:tcW w:w="704" w:type="dxa"/>
          </w:tcPr>
          <w:p w14:paraId="35455D38"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1.1.3.</w:t>
            </w:r>
          </w:p>
        </w:tc>
        <w:tc>
          <w:tcPr>
            <w:tcW w:w="2920" w:type="dxa"/>
          </w:tcPr>
          <w:p w14:paraId="4115EEE8"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 xml:space="preserve">Nombre de </w:t>
            </w:r>
            <w:r w:rsidRPr="001F0BE5">
              <w:rPr>
                <w:rFonts w:ascii="Tahoma" w:hAnsi="Tahoma" w:cs="Tahoma"/>
                <w:bCs/>
                <w:sz w:val="14"/>
                <w:szCs w:val="14"/>
              </w:rPr>
              <w:t>titres papier</w:t>
            </w:r>
            <w:r w:rsidRPr="001F0BE5">
              <w:rPr>
                <w:rFonts w:ascii="Tahoma" w:hAnsi="Tahoma" w:cs="Tahoma"/>
                <w:sz w:val="14"/>
                <w:szCs w:val="14"/>
              </w:rPr>
              <w:t xml:space="preserve"> émis dans l'année</w:t>
            </w:r>
          </w:p>
        </w:tc>
        <w:tc>
          <w:tcPr>
            <w:tcW w:w="3175" w:type="dxa"/>
          </w:tcPr>
          <w:p w14:paraId="017B11A7"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Nombre de titres papier distribués durant l’exercice sous revue aux financeurs.</w:t>
            </w:r>
          </w:p>
        </w:tc>
        <w:tc>
          <w:tcPr>
            <w:tcW w:w="1276" w:type="dxa"/>
          </w:tcPr>
          <w:p w14:paraId="6960DF33"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Papier</w:t>
            </w:r>
          </w:p>
        </w:tc>
        <w:tc>
          <w:tcPr>
            <w:tcW w:w="985" w:type="dxa"/>
          </w:tcPr>
          <w:p w14:paraId="445F95D3"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E (10)</w:t>
            </w:r>
          </w:p>
        </w:tc>
      </w:tr>
      <w:tr w:rsidR="00D913CC" w:rsidRPr="001F0BE5" w14:paraId="4D68AC29" w14:textId="77777777" w:rsidTr="002F6E8F">
        <w:tc>
          <w:tcPr>
            <w:tcW w:w="704" w:type="dxa"/>
          </w:tcPr>
          <w:p w14:paraId="7D443E0A"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1.1.4.</w:t>
            </w:r>
          </w:p>
        </w:tc>
        <w:tc>
          <w:tcPr>
            <w:tcW w:w="2920" w:type="dxa"/>
          </w:tcPr>
          <w:p w14:paraId="3E0D0310" w14:textId="6A6563F7" w:rsidR="00D913CC" w:rsidRPr="001F0BE5" w:rsidRDefault="00D913CC" w:rsidP="00D913CC">
            <w:pPr>
              <w:autoSpaceDE w:val="0"/>
              <w:autoSpaceDN w:val="0"/>
              <w:adjustRightInd w:val="0"/>
              <w:rPr>
                <w:rFonts w:ascii="Tahoma" w:hAnsi="Tahoma" w:cs="Tahoma"/>
                <w:sz w:val="14"/>
                <w:szCs w:val="14"/>
              </w:rPr>
            </w:pPr>
            <w:r w:rsidRPr="001F0BE5">
              <w:rPr>
                <w:rFonts w:ascii="Tahoma" w:hAnsi="Tahoma" w:cs="Tahoma"/>
                <w:sz w:val="14"/>
                <w:szCs w:val="14"/>
              </w:rPr>
              <w:t xml:space="preserve">Nombre de </w:t>
            </w:r>
            <w:r w:rsidRPr="001F0BE5">
              <w:rPr>
                <w:rFonts w:ascii="Tahoma" w:hAnsi="Tahoma" w:cs="Tahoma"/>
                <w:bCs/>
                <w:sz w:val="14"/>
                <w:szCs w:val="14"/>
              </w:rPr>
              <w:t>supports physiques ou électroniques</w:t>
            </w:r>
            <w:r w:rsidRPr="001F0BE5">
              <w:rPr>
                <w:rFonts w:ascii="Tahoma" w:hAnsi="Tahoma" w:cs="Tahoma"/>
                <w:sz w:val="14"/>
                <w:szCs w:val="14"/>
              </w:rPr>
              <w:t xml:space="preserve"> émis dans l'année</w:t>
            </w:r>
            <w:r>
              <w:rPr>
                <w:rFonts w:ascii="Tahoma" w:hAnsi="Tahoma" w:cs="Tahoma"/>
                <w:sz w:val="14"/>
                <w:szCs w:val="14"/>
              </w:rPr>
              <w:t xml:space="preserve"> pour le compte des clients.</w:t>
            </w:r>
          </w:p>
        </w:tc>
        <w:tc>
          <w:tcPr>
            <w:tcW w:w="3175" w:type="dxa"/>
          </w:tcPr>
          <w:p w14:paraId="143B595A" w14:textId="6505C9DF" w:rsidR="00D913CC" w:rsidRPr="004C737E" w:rsidRDefault="00D913CC" w:rsidP="00D913CC">
            <w:pPr>
              <w:autoSpaceDE w:val="0"/>
              <w:autoSpaceDN w:val="0"/>
              <w:adjustRightInd w:val="0"/>
              <w:jc w:val="both"/>
              <w:rPr>
                <w:rFonts w:ascii="Tahoma" w:hAnsi="Tahoma" w:cs="Tahoma"/>
                <w:i/>
                <w:color w:val="0070C0"/>
                <w:sz w:val="14"/>
                <w:szCs w:val="14"/>
              </w:rPr>
            </w:pPr>
            <w:r w:rsidRPr="004C737E">
              <w:rPr>
                <w:rFonts w:ascii="Tahoma" w:hAnsi="Tahoma" w:cs="Tahoma"/>
                <w:i/>
                <w:color w:val="0070C0"/>
                <w:sz w:val="14"/>
                <w:szCs w:val="14"/>
              </w:rPr>
              <w:t xml:space="preserve">Nombre de comptes utilisateurs créés au cours de l’année, ou nombre de cartes émises au cours de la période. </w:t>
            </w:r>
          </w:p>
        </w:tc>
        <w:tc>
          <w:tcPr>
            <w:tcW w:w="1276" w:type="dxa"/>
          </w:tcPr>
          <w:p w14:paraId="43DF91AF"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Digital</w:t>
            </w:r>
          </w:p>
        </w:tc>
        <w:tc>
          <w:tcPr>
            <w:tcW w:w="985" w:type="dxa"/>
          </w:tcPr>
          <w:p w14:paraId="72E4C50E"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E (10)</w:t>
            </w:r>
          </w:p>
        </w:tc>
      </w:tr>
      <w:tr w:rsidR="00D913CC" w:rsidRPr="001F0BE5" w14:paraId="3AE08D69" w14:textId="77777777" w:rsidTr="002F6E8F">
        <w:tc>
          <w:tcPr>
            <w:tcW w:w="704" w:type="dxa"/>
          </w:tcPr>
          <w:p w14:paraId="43A18752"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1.1.5.</w:t>
            </w:r>
          </w:p>
        </w:tc>
        <w:tc>
          <w:tcPr>
            <w:tcW w:w="2920" w:type="dxa"/>
          </w:tcPr>
          <w:p w14:paraId="26D13A3E"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bCs/>
                <w:sz w:val="14"/>
                <w:szCs w:val="14"/>
              </w:rPr>
              <w:t>Valeur des titres</w:t>
            </w:r>
            <w:r w:rsidRPr="001F0BE5">
              <w:rPr>
                <w:rFonts w:ascii="Tahoma" w:hAnsi="Tahoma" w:cs="Tahoma"/>
                <w:sz w:val="14"/>
                <w:szCs w:val="14"/>
              </w:rPr>
              <w:t xml:space="preserve"> émis dans l'année (en XPF)</w:t>
            </w:r>
          </w:p>
        </w:tc>
        <w:tc>
          <w:tcPr>
            <w:tcW w:w="3175" w:type="dxa"/>
          </w:tcPr>
          <w:p w14:paraId="43B4341D"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Valeur totale des titres distribués pendant l’exercice sous revue aux financeurs.</w:t>
            </w:r>
          </w:p>
        </w:tc>
        <w:tc>
          <w:tcPr>
            <w:tcW w:w="1276" w:type="dxa"/>
          </w:tcPr>
          <w:p w14:paraId="73402355"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Papier et Digital</w:t>
            </w:r>
          </w:p>
        </w:tc>
        <w:tc>
          <w:tcPr>
            <w:tcW w:w="985" w:type="dxa"/>
          </w:tcPr>
          <w:p w14:paraId="7E987C2C"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E (15)</w:t>
            </w:r>
          </w:p>
        </w:tc>
      </w:tr>
      <w:tr w:rsidR="00D913CC" w:rsidRPr="001F0BE5" w14:paraId="1DDC24E3" w14:textId="77777777" w:rsidTr="002F6E8F">
        <w:tc>
          <w:tcPr>
            <w:tcW w:w="704" w:type="dxa"/>
            <w:shd w:val="clear" w:color="auto" w:fill="B8CCE4" w:themeFill="accent1" w:themeFillTint="66"/>
          </w:tcPr>
          <w:p w14:paraId="539DBE80"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1.2.</w:t>
            </w:r>
          </w:p>
        </w:tc>
        <w:tc>
          <w:tcPr>
            <w:tcW w:w="2920" w:type="dxa"/>
            <w:shd w:val="clear" w:color="auto" w:fill="B8CCE4" w:themeFill="accent1" w:themeFillTint="66"/>
          </w:tcPr>
          <w:p w14:paraId="65A207AB"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Titres en circulation en fin d'année</w:t>
            </w:r>
          </w:p>
        </w:tc>
        <w:tc>
          <w:tcPr>
            <w:tcW w:w="3175" w:type="dxa"/>
            <w:shd w:val="clear" w:color="auto" w:fill="B8CCE4" w:themeFill="accent1" w:themeFillTint="66"/>
          </w:tcPr>
          <w:p w14:paraId="140D1CCA" w14:textId="77777777" w:rsidR="00D913CC" w:rsidRPr="001F0BE5" w:rsidRDefault="00D913CC" w:rsidP="00D913CC">
            <w:pPr>
              <w:autoSpaceDE w:val="0"/>
              <w:autoSpaceDN w:val="0"/>
              <w:adjustRightInd w:val="0"/>
              <w:jc w:val="both"/>
              <w:rPr>
                <w:rFonts w:ascii="Tahoma" w:hAnsi="Tahoma" w:cs="Tahoma"/>
                <w:sz w:val="14"/>
                <w:szCs w:val="14"/>
              </w:rPr>
            </w:pPr>
          </w:p>
        </w:tc>
        <w:tc>
          <w:tcPr>
            <w:tcW w:w="1276" w:type="dxa"/>
            <w:shd w:val="clear" w:color="auto" w:fill="B8CCE4" w:themeFill="accent1" w:themeFillTint="66"/>
          </w:tcPr>
          <w:p w14:paraId="561639EA" w14:textId="77777777" w:rsidR="00D913CC" w:rsidRPr="001F0BE5" w:rsidRDefault="00D913CC" w:rsidP="00D913CC">
            <w:pPr>
              <w:autoSpaceDE w:val="0"/>
              <w:autoSpaceDN w:val="0"/>
              <w:adjustRightInd w:val="0"/>
              <w:jc w:val="both"/>
              <w:rPr>
                <w:rFonts w:ascii="Tahoma" w:hAnsi="Tahoma" w:cs="Tahoma"/>
                <w:sz w:val="14"/>
                <w:szCs w:val="14"/>
              </w:rPr>
            </w:pPr>
          </w:p>
        </w:tc>
        <w:tc>
          <w:tcPr>
            <w:tcW w:w="985" w:type="dxa"/>
            <w:shd w:val="clear" w:color="auto" w:fill="B8CCE4" w:themeFill="accent1" w:themeFillTint="66"/>
          </w:tcPr>
          <w:p w14:paraId="2DB89941" w14:textId="77777777" w:rsidR="00D913CC" w:rsidRPr="001F0BE5" w:rsidRDefault="00D913CC" w:rsidP="00D913CC">
            <w:pPr>
              <w:autoSpaceDE w:val="0"/>
              <w:autoSpaceDN w:val="0"/>
              <w:adjustRightInd w:val="0"/>
              <w:jc w:val="both"/>
              <w:rPr>
                <w:rFonts w:ascii="Tahoma" w:hAnsi="Tahoma" w:cs="Tahoma"/>
                <w:sz w:val="14"/>
                <w:szCs w:val="14"/>
              </w:rPr>
            </w:pPr>
          </w:p>
        </w:tc>
      </w:tr>
      <w:tr w:rsidR="00D913CC" w:rsidRPr="001F0BE5" w14:paraId="7385CFF8" w14:textId="77777777" w:rsidTr="002F6E8F">
        <w:tc>
          <w:tcPr>
            <w:tcW w:w="704" w:type="dxa"/>
          </w:tcPr>
          <w:p w14:paraId="217FDCE0"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1.2.1.</w:t>
            </w:r>
          </w:p>
        </w:tc>
        <w:tc>
          <w:tcPr>
            <w:tcW w:w="2920" w:type="dxa"/>
          </w:tcPr>
          <w:p w14:paraId="414950FF"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 xml:space="preserve">Nombre de titres papier </w:t>
            </w:r>
            <w:r w:rsidRPr="001F0BE5">
              <w:rPr>
                <w:rFonts w:ascii="Tahoma" w:hAnsi="Tahoma" w:cs="Tahoma"/>
                <w:bCs/>
                <w:sz w:val="14"/>
                <w:szCs w:val="14"/>
              </w:rPr>
              <w:t>valides en circulation</w:t>
            </w:r>
          </w:p>
        </w:tc>
        <w:tc>
          <w:tcPr>
            <w:tcW w:w="3175" w:type="dxa"/>
          </w:tcPr>
          <w:p w14:paraId="34B51563"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Nombre de titres papier, émis pendant l’exercice ou antérieurement, toujours valides et jamais présentés au paiement.</w:t>
            </w:r>
          </w:p>
        </w:tc>
        <w:tc>
          <w:tcPr>
            <w:tcW w:w="1276" w:type="dxa"/>
          </w:tcPr>
          <w:p w14:paraId="22024D22"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Papier</w:t>
            </w:r>
          </w:p>
        </w:tc>
        <w:tc>
          <w:tcPr>
            <w:tcW w:w="985" w:type="dxa"/>
          </w:tcPr>
          <w:p w14:paraId="4D55E6D8"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E (10)</w:t>
            </w:r>
          </w:p>
        </w:tc>
      </w:tr>
      <w:tr w:rsidR="00D913CC" w:rsidRPr="001F0BE5" w14:paraId="2F765133" w14:textId="77777777" w:rsidTr="002F6E8F">
        <w:tc>
          <w:tcPr>
            <w:tcW w:w="704" w:type="dxa"/>
          </w:tcPr>
          <w:p w14:paraId="6F8865AF"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1.2.2.</w:t>
            </w:r>
          </w:p>
        </w:tc>
        <w:tc>
          <w:tcPr>
            <w:tcW w:w="2920" w:type="dxa"/>
          </w:tcPr>
          <w:p w14:paraId="5EB1EFDF"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 xml:space="preserve">Nombre de </w:t>
            </w:r>
            <w:r w:rsidRPr="001F0BE5">
              <w:rPr>
                <w:rFonts w:ascii="Tahoma" w:hAnsi="Tahoma" w:cs="Tahoma"/>
                <w:bCs/>
                <w:sz w:val="14"/>
                <w:szCs w:val="14"/>
              </w:rPr>
              <w:t>supports physiques ou électronique</w:t>
            </w:r>
            <w:r w:rsidRPr="001F0BE5">
              <w:rPr>
                <w:rFonts w:ascii="Tahoma" w:hAnsi="Tahoma" w:cs="Tahoma"/>
                <w:sz w:val="14"/>
                <w:szCs w:val="14"/>
              </w:rPr>
              <w:t xml:space="preserve">s </w:t>
            </w:r>
            <w:r>
              <w:rPr>
                <w:rFonts w:ascii="Tahoma" w:hAnsi="Tahoma" w:cs="Tahoma"/>
                <w:sz w:val="14"/>
                <w:szCs w:val="14"/>
              </w:rPr>
              <w:t xml:space="preserve">valides </w:t>
            </w:r>
            <w:r w:rsidRPr="001F0BE5">
              <w:rPr>
                <w:rFonts w:ascii="Tahoma" w:hAnsi="Tahoma" w:cs="Tahoma"/>
                <w:sz w:val="14"/>
                <w:szCs w:val="14"/>
              </w:rPr>
              <w:t>en circulation</w:t>
            </w:r>
            <w:r>
              <w:rPr>
                <w:rFonts w:ascii="Tahoma" w:hAnsi="Tahoma" w:cs="Tahoma"/>
                <w:sz w:val="14"/>
                <w:szCs w:val="14"/>
              </w:rPr>
              <w:t xml:space="preserve"> au 31/12 </w:t>
            </w:r>
          </w:p>
        </w:tc>
        <w:tc>
          <w:tcPr>
            <w:tcW w:w="3175" w:type="dxa"/>
          </w:tcPr>
          <w:p w14:paraId="6B4C1D3E" w14:textId="4B082D5C" w:rsidR="00D913CC" w:rsidRPr="001F0BE5" w:rsidRDefault="00D913CC" w:rsidP="00D913CC">
            <w:pPr>
              <w:autoSpaceDE w:val="0"/>
              <w:autoSpaceDN w:val="0"/>
              <w:adjustRightInd w:val="0"/>
              <w:jc w:val="both"/>
              <w:rPr>
                <w:rFonts w:ascii="Tahoma" w:hAnsi="Tahoma" w:cs="Tahoma"/>
                <w:sz w:val="14"/>
                <w:szCs w:val="14"/>
              </w:rPr>
            </w:pPr>
            <w:r w:rsidRPr="004C737E">
              <w:rPr>
                <w:rFonts w:ascii="Tahoma" w:hAnsi="Tahoma" w:cs="Tahoma"/>
                <w:i/>
                <w:color w:val="0070C0"/>
                <w:sz w:val="14"/>
                <w:szCs w:val="14"/>
              </w:rPr>
              <w:t xml:space="preserve">Nombre de comptes utilisateurs ou nombre de cartes émises </w:t>
            </w:r>
            <w:r w:rsidRPr="004C737E">
              <w:rPr>
                <w:rFonts w:ascii="Tahoma" w:hAnsi="Tahoma" w:cs="Tahoma"/>
                <w:color w:val="0070C0"/>
                <w:sz w:val="14"/>
                <w:szCs w:val="14"/>
              </w:rPr>
              <w:t>actifs au terme de l’exercice sous revue.</w:t>
            </w:r>
          </w:p>
        </w:tc>
        <w:tc>
          <w:tcPr>
            <w:tcW w:w="1276" w:type="dxa"/>
          </w:tcPr>
          <w:p w14:paraId="620ACE8E"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Digital</w:t>
            </w:r>
          </w:p>
        </w:tc>
        <w:tc>
          <w:tcPr>
            <w:tcW w:w="985" w:type="dxa"/>
          </w:tcPr>
          <w:p w14:paraId="53A30151"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E (10)</w:t>
            </w:r>
          </w:p>
        </w:tc>
      </w:tr>
      <w:tr w:rsidR="00D913CC" w:rsidRPr="001F0BE5" w14:paraId="603E4632" w14:textId="77777777" w:rsidTr="002F6E8F">
        <w:tc>
          <w:tcPr>
            <w:tcW w:w="704" w:type="dxa"/>
          </w:tcPr>
          <w:p w14:paraId="6915E405"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1.2.3.</w:t>
            </w:r>
          </w:p>
        </w:tc>
        <w:tc>
          <w:tcPr>
            <w:tcW w:w="2920" w:type="dxa"/>
          </w:tcPr>
          <w:p w14:paraId="07D9937F"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Valeurs des titres</w:t>
            </w:r>
            <w:r>
              <w:rPr>
                <w:rFonts w:ascii="Tahoma" w:hAnsi="Tahoma" w:cs="Tahoma"/>
                <w:sz w:val="14"/>
                <w:szCs w:val="14"/>
              </w:rPr>
              <w:t xml:space="preserve"> valides</w:t>
            </w:r>
            <w:r w:rsidRPr="001F0BE5">
              <w:rPr>
                <w:rFonts w:ascii="Tahoma" w:hAnsi="Tahoma" w:cs="Tahoma"/>
                <w:sz w:val="14"/>
                <w:szCs w:val="14"/>
              </w:rPr>
              <w:t xml:space="preserve"> en </w:t>
            </w:r>
            <w:r w:rsidRPr="001F0BE5">
              <w:rPr>
                <w:rFonts w:ascii="Tahoma" w:hAnsi="Tahoma" w:cs="Tahoma"/>
                <w:bCs/>
                <w:sz w:val="14"/>
                <w:szCs w:val="14"/>
              </w:rPr>
              <w:t xml:space="preserve">circulation </w:t>
            </w:r>
            <w:r>
              <w:rPr>
                <w:rFonts w:ascii="Tahoma" w:hAnsi="Tahoma" w:cs="Tahoma"/>
                <w:bCs/>
                <w:sz w:val="14"/>
                <w:szCs w:val="14"/>
              </w:rPr>
              <w:t xml:space="preserve">au 31/12 </w:t>
            </w:r>
            <w:r w:rsidRPr="001F0BE5">
              <w:rPr>
                <w:rFonts w:ascii="Tahoma" w:hAnsi="Tahoma" w:cs="Tahoma"/>
                <w:bCs/>
                <w:sz w:val="14"/>
                <w:szCs w:val="14"/>
              </w:rPr>
              <w:t>(en XPF)</w:t>
            </w:r>
          </w:p>
        </w:tc>
        <w:tc>
          <w:tcPr>
            <w:tcW w:w="3175" w:type="dxa"/>
          </w:tcPr>
          <w:p w14:paraId="40FC3665"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Valeur totale des titres émis pendant l’exercice, ou antérieurement, toujours valides, et jamais présentés au paiement.</w:t>
            </w:r>
          </w:p>
        </w:tc>
        <w:tc>
          <w:tcPr>
            <w:tcW w:w="1276" w:type="dxa"/>
          </w:tcPr>
          <w:p w14:paraId="26BF9091"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Papier ou Digital</w:t>
            </w:r>
          </w:p>
        </w:tc>
        <w:tc>
          <w:tcPr>
            <w:tcW w:w="985" w:type="dxa"/>
          </w:tcPr>
          <w:p w14:paraId="1E19D648"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E (15)</w:t>
            </w:r>
          </w:p>
        </w:tc>
      </w:tr>
      <w:tr w:rsidR="00D913CC" w:rsidRPr="001F0BE5" w14:paraId="7FF250D7" w14:textId="77777777" w:rsidTr="002F6E8F">
        <w:tc>
          <w:tcPr>
            <w:tcW w:w="704" w:type="dxa"/>
            <w:shd w:val="clear" w:color="auto" w:fill="B8CCE4" w:themeFill="accent1" w:themeFillTint="66"/>
          </w:tcPr>
          <w:p w14:paraId="5017D54A"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2.</w:t>
            </w:r>
          </w:p>
        </w:tc>
        <w:tc>
          <w:tcPr>
            <w:tcW w:w="2920" w:type="dxa"/>
            <w:shd w:val="clear" w:color="auto" w:fill="B8CCE4" w:themeFill="accent1" w:themeFillTint="66"/>
          </w:tcPr>
          <w:p w14:paraId="3D5E4BA7" w14:textId="77777777" w:rsidR="00D913CC" w:rsidRPr="001F0BE5" w:rsidRDefault="00D913CC" w:rsidP="00D913CC">
            <w:pPr>
              <w:autoSpaceDE w:val="0"/>
              <w:autoSpaceDN w:val="0"/>
              <w:adjustRightInd w:val="0"/>
              <w:jc w:val="both"/>
              <w:rPr>
                <w:rFonts w:ascii="Tahoma" w:hAnsi="Tahoma" w:cs="Tahoma"/>
                <w:color w:val="000000"/>
                <w:sz w:val="14"/>
                <w:szCs w:val="14"/>
              </w:rPr>
            </w:pPr>
            <w:r w:rsidRPr="001F0BE5">
              <w:rPr>
                <w:rFonts w:ascii="Tahoma" w:hAnsi="Tahoma" w:cs="Tahoma"/>
                <w:color w:val="000000"/>
                <w:sz w:val="14"/>
                <w:szCs w:val="14"/>
              </w:rPr>
              <w:t>Utilisation dans l’année</w:t>
            </w:r>
          </w:p>
        </w:tc>
        <w:tc>
          <w:tcPr>
            <w:tcW w:w="3175" w:type="dxa"/>
            <w:shd w:val="clear" w:color="auto" w:fill="B8CCE4" w:themeFill="accent1" w:themeFillTint="66"/>
          </w:tcPr>
          <w:p w14:paraId="6589225A" w14:textId="77777777" w:rsidR="00D913CC" w:rsidRPr="001F0BE5" w:rsidRDefault="00D913CC" w:rsidP="00D913CC">
            <w:pPr>
              <w:autoSpaceDE w:val="0"/>
              <w:autoSpaceDN w:val="0"/>
              <w:adjustRightInd w:val="0"/>
              <w:jc w:val="both"/>
              <w:rPr>
                <w:rFonts w:ascii="Tahoma" w:hAnsi="Tahoma" w:cs="Tahoma"/>
                <w:sz w:val="14"/>
                <w:szCs w:val="14"/>
              </w:rPr>
            </w:pPr>
          </w:p>
        </w:tc>
        <w:tc>
          <w:tcPr>
            <w:tcW w:w="1276" w:type="dxa"/>
            <w:shd w:val="clear" w:color="auto" w:fill="B8CCE4" w:themeFill="accent1" w:themeFillTint="66"/>
          </w:tcPr>
          <w:p w14:paraId="58F7CAFC" w14:textId="77777777" w:rsidR="00D913CC" w:rsidRPr="001F0BE5" w:rsidRDefault="00D913CC" w:rsidP="00D913CC">
            <w:pPr>
              <w:autoSpaceDE w:val="0"/>
              <w:autoSpaceDN w:val="0"/>
              <w:adjustRightInd w:val="0"/>
              <w:jc w:val="both"/>
              <w:rPr>
                <w:rFonts w:ascii="Tahoma" w:hAnsi="Tahoma" w:cs="Tahoma"/>
                <w:sz w:val="14"/>
                <w:szCs w:val="14"/>
              </w:rPr>
            </w:pPr>
          </w:p>
        </w:tc>
        <w:tc>
          <w:tcPr>
            <w:tcW w:w="985" w:type="dxa"/>
            <w:shd w:val="clear" w:color="auto" w:fill="B8CCE4" w:themeFill="accent1" w:themeFillTint="66"/>
          </w:tcPr>
          <w:p w14:paraId="3532FBCA" w14:textId="77777777" w:rsidR="00D913CC" w:rsidRPr="001F0BE5" w:rsidRDefault="00D913CC" w:rsidP="00D913CC">
            <w:pPr>
              <w:autoSpaceDE w:val="0"/>
              <w:autoSpaceDN w:val="0"/>
              <w:adjustRightInd w:val="0"/>
              <w:jc w:val="both"/>
              <w:rPr>
                <w:rFonts w:ascii="Tahoma" w:hAnsi="Tahoma" w:cs="Tahoma"/>
                <w:sz w:val="14"/>
                <w:szCs w:val="14"/>
              </w:rPr>
            </w:pPr>
          </w:p>
        </w:tc>
      </w:tr>
      <w:tr w:rsidR="00D913CC" w:rsidRPr="001F0BE5" w14:paraId="741F1896" w14:textId="77777777" w:rsidTr="002F6E8F">
        <w:tc>
          <w:tcPr>
            <w:tcW w:w="704" w:type="dxa"/>
          </w:tcPr>
          <w:p w14:paraId="0E144DDB"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2.1.</w:t>
            </w:r>
          </w:p>
        </w:tc>
        <w:tc>
          <w:tcPr>
            <w:tcW w:w="2920" w:type="dxa"/>
          </w:tcPr>
          <w:p w14:paraId="3BFB86E0" w14:textId="77777777" w:rsidR="00D913CC" w:rsidRPr="001F0BE5" w:rsidRDefault="00D913CC" w:rsidP="00D913CC">
            <w:pPr>
              <w:autoSpaceDE w:val="0"/>
              <w:autoSpaceDN w:val="0"/>
              <w:adjustRightInd w:val="0"/>
              <w:jc w:val="both"/>
              <w:rPr>
                <w:rFonts w:ascii="Tahoma" w:hAnsi="Tahoma" w:cs="Tahoma"/>
                <w:color w:val="000000"/>
                <w:sz w:val="14"/>
                <w:szCs w:val="14"/>
              </w:rPr>
            </w:pPr>
            <w:r w:rsidRPr="001F0BE5">
              <w:rPr>
                <w:rFonts w:ascii="Tahoma" w:hAnsi="Tahoma" w:cs="Tahoma"/>
                <w:color w:val="000000"/>
                <w:sz w:val="14"/>
                <w:szCs w:val="14"/>
              </w:rPr>
              <w:t>Nombre de paiements réalisés</w:t>
            </w:r>
          </w:p>
        </w:tc>
        <w:tc>
          <w:tcPr>
            <w:tcW w:w="3175" w:type="dxa"/>
          </w:tcPr>
          <w:p w14:paraId="3B7221AE"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Nombre de transactions réalisées par utilisation d’un IPS / TSPD durant l’exercice sous revue. Par exemple, un même support (digital) utilisé  12 fois au cours de l’année devra être comptabilisé 12 fois sur ce critère</w:t>
            </w:r>
          </w:p>
        </w:tc>
        <w:tc>
          <w:tcPr>
            <w:tcW w:w="1276" w:type="dxa"/>
          </w:tcPr>
          <w:p w14:paraId="2482F60A"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Papier ou Digital</w:t>
            </w:r>
          </w:p>
        </w:tc>
        <w:tc>
          <w:tcPr>
            <w:tcW w:w="985" w:type="dxa"/>
          </w:tcPr>
          <w:p w14:paraId="4F25B1B4"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E (10)</w:t>
            </w:r>
          </w:p>
        </w:tc>
      </w:tr>
      <w:tr w:rsidR="00D913CC" w:rsidRPr="001F0BE5" w14:paraId="05726E34" w14:textId="77777777" w:rsidTr="002F6E8F">
        <w:tc>
          <w:tcPr>
            <w:tcW w:w="704" w:type="dxa"/>
          </w:tcPr>
          <w:p w14:paraId="67FF164B"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lastRenderedPageBreak/>
              <w:t>2.1.1.</w:t>
            </w:r>
          </w:p>
        </w:tc>
        <w:tc>
          <w:tcPr>
            <w:tcW w:w="2920" w:type="dxa"/>
          </w:tcPr>
          <w:p w14:paraId="4007395A" w14:textId="77777777" w:rsidR="00D913CC" w:rsidRPr="001F0BE5" w:rsidRDefault="00D913CC" w:rsidP="00D913CC">
            <w:pPr>
              <w:autoSpaceDE w:val="0"/>
              <w:autoSpaceDN w:val="0"/>
              <w:adjustRightInd w:val="0"/>
              <w:jc w:val="both"/>
              <w:rPr>
                <w:rFonts w:ascii="Tahoma" w:hAnsi="Tahoma" w:cs="Tahoma"/>
                <w:color w:val="000000"/>
                <w:sz w:val="14"/>
                <w:szCs w:val="14"/>
              </w:rPr>
            </w:pPr>
            <w:r w:rsidRPr="001F0BE5">
              <w:rPr>
                <w:rFonts w:ascii="Tahoma" w:hAnsi="Tahoma" w:cs="Tahoma"/>
                <w:i/>
                <w:iCs/>
                <w:color w:val="000000"/>
                <w:sz w:val="14"/>
                <w:szCs w:val="14"/>
              </w:rPr>
              <w:t>dont nombre de paiements à un terminal</w:t>
            </w:r>
          </w:p>
        </w:tc>
        <w:tc>
          <w:tcPr>
            <w:tcW w:w="3175" w:type="dxa"/>
          </w:tcPr>
          <w:p w14:paraId="70300011"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Nombre de transactions réalisées sur un terminal par utilisation d’un IPS /TSPD durant l’exercice sous revue.</w:t>
            </w:r>
          </w:p>
        </w:tc>
        <w:tc>
          <w:tcPr>
            <w:tcW w:w="1276" w:type="dxa"/>
          </w:tcPr>
          <w:p w14:paraId="7C7F8C3A"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Digital</w:t>
            </w:r>
          </w:p>
        </w:tc>
        <w:tc>
          <w:tcPr>
            <w:tcW w:w="985" w:type="dxa"/>
          </w:tcPr>
          <w:p w14:paraId="4433773E"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E (10)</w:t>
            </w:r>
          </w:p>
        </w:tc>
      </w:tr>
      <w:tr w:rsidR="00D913CC" w:rsidRPr="001F0BE5" w14:paraId="7AD786E8" w14:textId="77777777" w:rsidTr="002F6E8F">
        <w:tc>
          <w:tcPr>
            <w:tcW w:w="704" w:type="dxa"/>
          </w:tcPr>
          <w:p w14:paraId="11FA6ADB"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2.1.2.</w:t>
            </w:r>
          </w:p>
        </w:tc>
        <w:tc>
          <w:tcPr>
            <w:tcW w:w="2920" w:type="dxa"/>
          </w:tcPr>
          <w:p w14:paraId="4EE1FC3E" w14:textId="77777777" w:rsidR="00D913CC" w:rsidRPr="001F0BE5" w:rsidRDefault="00D913CC" w:rsidP="00D913CC">
            <w:pPr>
              <w:autoSpaceDE w:val="0"/>
              <w:autoSpaceDN w:val="0"/>
              <w:adjustRightInd w:val="0"/>
              <w:rPr>
                <w:rFonts w:ascii="Tahoma" w:hAnsi="Tahoma" w:cs="Tahoma"/>
                <w:color w:val="000000"/>
                <w:sz w:val="14"/>
                <w:szCs w:val="14"/>
              </w:rPr>
            </w:pPr>
            <w:r w:rsidRPr="001F0BE5">
              <w:rPr>
                <w:rFonts w:ascii="Tahoma" w:hAnsi="Tahoma" w:cs="Tahoma"/>
                <w:i/>
                <w:iCs/>
                <w:color w:val="000000"/>
                <w:sz w:val="14"/>
                <w:szCs w:val="14"/>
              </w:rPr>
              <w:t>dont nombre de paiements à distance</w:t>
            </w:r>
          </w:p>
        </w:tc>
        <w:tc>
          <w:tcPr>
            <w:tcW w:w="3175" w:type="dxa"/>
          </w:tcPr>
          <w:p w14:paraId="4E96C890"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 xml:space="preserve">Nombre de transactions réalisées à distance par utilisation d’un IPS / TSPD durant l’exercice sous revue. </w:t>
            </w:r>
          </w:p>
        </w:tc>
        <w:tc>
          <w:tcPr>
            <w:tcW w:w="1276" w:type="dxa"/>
          </w:tcPr>
          <w:p w14:paraId="099927B0"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Digital</w:t>
            </w:r>
          </w:p>
        </w:tc>
        <w:tc>
          <w:tcPr>
            <w:tcW w:w="985" w:type="dxa"/>
          </w:tcPr>
          <w:p w14:paraId="53944994"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E (10)</w:t>
            </w:r>
          </w:p>
        </w:tc>
      </w:tr>
      <w:tr w:rsidR="00D913CC" w:rsidRPr="001F0BE5" w14:paraId="60BD5661" w14:textId="77777777" w:rsidTr="002F6E8F">
        <w:tc>
          <w:tcPr>
            <w:tcW w:w="704" w:type="dxa"/>
          </w:tcPr>
          <w:p w14:paraId="395F71CF"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2.1.3.</w:t>
            </w:r>
          </w:p>
        </w:tc>
        <w:tc>
          <w:tcPr>
            <w:tcW w:w="2920" w:type="dxa"/>
          </w:tcPr>
          <w:p w14:paraId="1D9DF209" w14:textId="77777777" w:rsidR="00D913CC" w:rsidRPr="001F0BE5" w:rsidRDefault="00D913CC" w:rsidP="00D913CC">
            <w:pPr>
              <w:autoSpaceDE w:val="0"/>
              <w:autoSpaceDN w:val="0"/>
              <w:adjustRightInd w:val="0"/>
              <w:jc w:val="both"/>
              <w:rPr>
                <w:rFonts w:ascii="Tahoma" w:hAnsi="Tahoma" w:cs="Tahoma"/>
                <w:color w:val="000000"/>
                <w:sz w:val="14"/>
                <w:szCs w:val="14"/>
              </w:rPr>
            </w:pPr>
            <w:r w:rsidRPr="001F0BE5">
              <w:rPr>
                <w:rFonts w:ascii="Tahoma" w:hAnsi="Tahoma" w:cs="Tahoma"/>
                <w:i/>
                <w:iCs/>
                <w:color w:val="000000"/>
                <w:sz w:val="14"/>
                <w:szCs w:val="14"/>
              </w:rPr>
              <w:t>dont nombre de paiement</w:t>
            </w:r>
            <w:r>
              <w:rPr>
                <w:rFonts w:ascii="Tahoma" w:hAnsi="Tahoma" w:cs="Tahoma"/>
                <w:i/>
                <w:iCs/>
                <w:color w:val="000000"/>
                <w:sz w:val="14"/>
                <w:szCs w:val="14"/>
              </w:rPr>
              <w:t>s</w:t>
            </w:r>
            <w:r w:rsidRPr="001F0BE5">
              <w:rPr>
                <w:rFonts w:ascii="Tahoma" w:hAnsi="Tahoma" w:cs="Tahoma"/>
                <w:i/>
                <w:iCs/>
                <w:color w:val="000000"/>
                <w:sz w:val="14"/>
                <w:szCs w:val="14"/>
              </w:rPr>
              <w:t xml:space="preserve"> en titre papier</w:t>
            </w:r>
          </w:p>
        </w:tc>
        <w:tc>
          <w:tcPr>
            <w:tcW w:w="3175" w:type="dxa"/>
          </w:tcPr>
          <w:p w14:paraId="4F5B02F5"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Nombre de transactions réalisées par utilisation d’un titre en papier durant l’exercice.</w:t>
            </w:r>
          </w:p>
        </w:tc>
        <w:tc>
          <w:tcPr>
            <w:tcW w:w="1276" w:type="dxa"/>
          </w:tcPr>
          <w:p w14:paraId="718D59FA"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Papier</w:t>
            </w:r>
          </w:p>
        </w:tc>
        <w:tc>
          <w:tcPr>
            <w:tcW w:w="985" w:type="dxa"/>
          </w:tcPr>
          <w:p w14:paraId="56C1B804"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E (10)</w:t>
            </w:r>
          </w:p>
        </w:tc>
      </w:tr>
      <w:tr w:rsidR="00D913CC" w:rsidRPr="001F0BE5" w14:paraId="7572696D" w14:textId="77777777" w:rsidTr="002F6E8F">
        <w:tc>
          <w:tcPr>
            <w:tcW w:w="704" w:type="dxa"/>
          </w:tcPr>
          <w:p w14:paraId="5AA7BAC7"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2.2.</w:t>
            </w:r>
          </w:p>
        </w:tc>
        <w:tc>
          <w:tcPr>
            <w:tcW w:w="2920" w:type="dxa"/>
          </w:tcPr>
          <w:p w14:paraId="6FB54193" w14:textId="77777777" w:rsidR="00D913CC" w:rsidRPr="001F0BE5" w:rsidRDefault="00D913CC" w:rsidP="00D913CC">
            <w:pPr>
              <w:autoSpaceDE w:val="0"/>
              <w:autoSpaceDN w:val="0"/>
              <w:adjustRightInd w:val="0"/>
              <w:rPr>
                <w:rFonts w:ascii="Tahoma" w:hAnsi="Tahoma" w:cs="Tahoma"/>
                <w:sz w:val="14"/>
                <w:szCs w:val="14"/>
              </w:rPr>
            </w:pPr>
            <w:r w:rsidRPr="001F0BE5">
              <w:rPr>
                <w:rFonts w:ascii="Tahoma" w:hAnsi="Tahoma" w:cs="Tahoma"/>
                <w:sz w:val="14"/>
                <w:szCs w:val="14"/>
              </w:rPr>
              <w:t>Montant des paiements réalisés (en XPF)</w:t>
            </w:r>
          </w:p>
        </w:tc>
        <w:tc>
          <w:tcPr>
            <w:tcW w:w="3175" w:type="dxa"/>
          </w:tcPr>
          <w:p w14:paraId="17A1AA14" w14:textId="262732D1"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Montant des transactions réalisées par utilisation d’un IPS / TSPD durant l’exercice sous revue.</w:t>
            </w:r>
          </w:p>
        </w:tc>
        <w:tc>
          <w:tcPr>
            <w:tcW w:w="1276" w:type="dxa"/>
          </w:tcPr>
          <w:p w14:paraId="3006768A"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Papier ou Digital</w:t>
            </w:r>
          </w:p>
        </w:tc>
        <w:tc>
          <w:tcPr>
            <w:tcW w:w="985" w:type="dxa"/>
          </w:tcPr>
          <w:p w14:paraId="02FE6B98"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E (15)</w:t>
            </w:r>
          </w:p>
        </w:tc>
      </w:tr>
      <w:tr w:rsidR="00D913CC" w:rsidRPr="001F0BE5" w14:paraId="6EE40895" w14:textId="77777777" w:rsidTr="002F6E8F">
        <w:tc>
          <w:tcPr>
            <w:tcW w:w="704" w:type="dxa"/>
          </w:tcPr>
          <w:p w14:paraId="4143782E"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2.2.1.</w:t>
            </w:r>
          </w:p>
        </w:tc>
        <w:tc>
          <w:tcPr>
            <w:tcW w:w="2920" w:type="dxa"/>
          </w:tcPr>
          <w:p w14:paraId="546657BF" w14:textId="77777777" w:rsidR="00D913CC" w:rsidRPr="001F0BE5" w:rsidRDefault="00D913CC" w:rsidP="00D913CC">
            <w:pPr>
              <w:autoSpaceDE w:val="0"/>
              <w:autoSpaceDN w:val="0"/>
              <w:adjustRightInd w:val="0"/>
              <w:jc w:val="both"/>
              <w:rPr>
                <w:rFonts w:ascii="Tahoma" w:hAnsi="Tahoma" w:cs="Tahoma"/>
                <w:color w:val="000000"/>
                <w:sz w:val="14"/>
                <w:szCs w:val="14"/>
              </w:rPr>
            </w:pPr>
            <w:r w:rsidRPr="001F0BE5">
              <w:rPr>
                <w:rFonts w:ascii="Tahoma" w:hAnsi="Tahoma" w:cs="Tahoma"/>
                <w:i/>
                <w:iCs/>
                <w:color w:val="000000"/>
                <w:sz w:val="14"/>
                <w:szCs w:val="14"/>
              </w:rPr>
              <w:t>dont montant des paiements à un terminal (en XPF)</w:t>
            </w:r>
          </w:p>
        </w:tc>
        <w:tc>
          <w:tcPr>
            <w:tcW w:w="3175" w:type="dxa"/>
          </w:tcPr>
          <w:p w14:paraId="75412ED3"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Montant des transactions réalisées sur un terminal par utilisation d’un IPS /TSPD durant l’exercice sous revue.</w:t>
            </w:r>
          </w:p>
        </w:tc>
        <w:tc>
          <w:tcPr>
            <w:tcW w:w="1276" w:type="dxa"/>
          </w:tcPr>
          <w:p w14:paraId="60AE38D4"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Digital</w:t>
            </w:r>
          </w:p>
        </w:tc>
        <w:tc>
          <w:tcPr>
            <w:tcW w:w="985" w:type="dxa"/>
          </w:tcPr>
          <w:p w14:paraId="16C717AD"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E (15)</w:t>
            </w:r>
          </w:p>
        </w:tc>
      </w:tr>
      <w:tr w:rsidR="00D913CC" w:rsidRPr="001F0BE5" w14:paraId="126595EF" w14:textId="77777777" w:rsidTr="002F6E8F">
        <w:tc>
          <w:tcPr>
            <w:tcW w:w="704" w:type="dxa"/>
          </w:tcPr>
          <w:p w14:paraId="3D2A39EF"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2.2.2.</w:t>
            </w:r>
          </w:p>
        </w:tc>
        <w:tc>
          <w:tcPr>
            <w:tcW w:w="2920" w:type="dxa"/>
          </w:tcPr>
          <w:p w14:paraId="17FD5EC4" w14:textId="77777777" w:rsidR="00D913CC" w:rsidRPr="001F0BE5" w:rsidRDefault="00D913CC" w:rsidP="00D913CC">
            <w:pPr>
              <w:autoSpaceDE w:val="0"/>
              <w:autoSpaceDN w:val="0"/>
              <w:adjustRightInd w:val="0"/>
              <w:jc w:val="both"/>
              <w:rPr>
                <w:rFonts w:ascii="Tahoma" w:hAnsi="Tahoma" w:cs="Tahoma"/>
                <w:color w:val="000000"/>
                <w:sz w:val="14"/>
                <w:szCs w:val="14"/>
              </w:rPr>
            </w:pPr>
            <w:r w:rsidRPr="001F0BE5">
              <w:rPr>
                <w:rFonts w:ascii="Tahoma" w:hAnsi="Tahoma" w:cs="Tahoma"/>
                <w:i/>
                <w:iCs/>
                <w:color w:val="000000"/>
                <w:sz w:val="14"/>
                <w:szCs w:val="14"/>
              </w:rPr>
              <w:t>dont montant des paiements à distance (en XPF)</w:t>
            </w:r>
          </w:p>
        </w:tc>
        <w:tc>
          <w:tcPr>
            <w:tcW w:w="3175" w:type="dxa"/>
          </w:tcPr>
          <w:p w14:paraId="6E294FFB"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Montant des transactions réalisées à distance par utilisation d’un IPS / TSPD durant l’exercice sous revue.</w:t>
            </w:r>
          </w:p>
        </w:tc>
        <w:tc>
          <w:tcPr>
            <w:tcW w:w="1276" w:type="dxa"/>
          </w:tcPr>
          <w:p w14:paraId="41EE34AA"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Digital</w:t>
            </w:r>
          </w:p>
        </w:tc>
        <w:tc>
          <w:tcPr>
            <w:tcW w:w="985" w:type="dxa"/>
          </w:tcPr>
          <w:p w14:paraId="6A67278F"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E (15)</w:t>
            </w:r>
          </w:p>
        </w:tc>
      </w:tr>
      <w:tr w:rsidR="00D913CC" w:rsidRPr="001F0BE5" w14:paraId="7CF56669" w14:textId="77777777" w:rsidTr="002F6E8F">
        <w:tc>
          <w:tcPr>
            <w:tcW w:w="704" w:type="dxa"/>
          </w:tcPr>
          <w:p w14:paraId="5E35A466"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2.2.3.</w:t>
            </w:r>
          </w:p>
        </w:tc>
        <w:tc>
          <w:tcPr>
            <w:tcW w:w="2920" w:type="dxa"/>
          </w:tcPr>
          <w:p w14:paraId="4AF0CE32" w14:textId="77777777" w:rsidR="00D913CC" w:rsidRPr="001F0BE5" w:rsidRDefault="00D913CC" w:rsidP="00D913CC">
            <w:pPr>
              <w:autoSpaceDE w:val="0"/>
              <w:autoSpaceDN w:val="0"/>
              <w:adjustRightInd w:val="0"/>
              <w:jc w:val="both"/>
              <w:rPr>
                <w:rFonts w:ascii="Tahoma" w:hAnsi="Tahoma" w:cs="Tahoma"/>
                <w:color w:val="000000"/>
                <w:sz w:val="14"/>
                <w:szCs w:val="14"/>
              </w:rPr>
            </w:pPr>
            <w:r w:rsidRPr="001F0BE5">
              <w:rPr>
                <w:rFonts w:ascii="Tahoma" w:hAnsi="Tahoma" w:cs="Tahoma"/>
                <w:i/>
                <w:iCs/>
                <w:color w:val="000000"/>
                <w:sz w:val="14"/>
                <w:szCs w:val="14"/>
              </w:rPr>
              <w:t>dont montant des paiements en titre papier (en XPF)</w:t>
            </w:r>
          </w:p>
        </w:tc>
        <w:tc>
          <w:tcPr>
            <w:tcW w:w="3175" w:type="dxa"/>
          </w:tcPr>
          <w:p w14:paraId="132338A5"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Montant total des transactions réalisés par utilisation d’un titre en papier durant l’exercice.</w:t>
            </w:r>
          </w:p>
        </w:tc>
        <w:tc>
          <w:tcPr>
            <w:tcW w:w="1276" w:type="dxa"/>
          </w:tcPr>
          <w:p w14:paraId="4940DBAC"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Papier</w:t>
            </w:r>
          </w:p>
        </w:tc>
        <w:tc>
          <w:tcPr>
            <w:tcW w:w="985" w:type="dxa"/>
          </w:tcPr>
          <w:p w14:paraId="58382522"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E (15)</w:t>
            </w:r>
          </w:p>
        </w:tc>
      </w:tr>
      <w:tr w:rsidR="00D913CC" w:rsidRPr="001F0BE5" w14:paraId="0B3FF640" w14:textId="77777777" w:rsidTr="002F6E8F">
        <w:tc>
          <w:tcPr>
            <w:tcW w:w="704" w:type="dxa"/>
          </w:tcPr>
          <w:p w14:paraId="6D66BAE9"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2.3.</w:t>
            </w:r>
          </w:p>
        </w:tc>
        <w:tc>
          <w:tcPr>
            <w:tcW w:w="2920" w:type="dxa"/>
          </w:tcPr>
          <w:p w14:paraId="191D64B9" w14:textId="77777777" w:rsidR="00D913CC" w:rsidRPr="001F0BE5" w:rsidRDefault="00D913CC" w:rsidP="00D913CC">
            <w:pPr>
              <w:autoSpaceDE w:val="0"/>
              <w:autoSpaceDN w:val="0"/>
              <w:adjustRightInd w:val="0"/>
              <w:jc w:val="both"/>
              <w:rPr>
                <w:rFonts w:ascii="Tahoma" w:hAnsi="Tahoma" w:cs="Tahoma"/>
                <w:sz w:val="14"/>
                <w:szCs w:val="14"/>
              </w:rPr>
            </w:pPr>
            <w:r w:rsidRPr="001F0BE5">
              <w:rPr>
                <w:rFonts w:ascii="Tahoma" w:hAnsi="Tahoma" w:cs="Tahoma"/>
                <w:sz w:val="14"/>
                <w:szCs w:val="14"/>
              </w:rPr>
              <w:t>Nombre d'accepteurs</w:t>
            </w:r>
          </w:p>
        </w:tc>
        <w:tc>
          <w:tcPr>
            <w:tcW w:w="3175" w:type="dxa"/>
          </w:tcPr>
          <w:p w14:paraId="17ADCC39"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Nombre de commerçants ou d’entreprises acceptant le paiement par utilisation d’IPS / TSPD au 31/12/N-1</w:t>
            </w:r>
          </w:p>
        </w:tc>
        <w:tc>
          <w:tcPr>
            <w:tcW w:w="1276" w:type="dxa"/>
          </w:tcPr>
          <w:p w14:paraId="01807756"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Papier ou Digital</w:t>
            </w:r>
          </w:p>
        </w:tc>
        <w:tc>
          <w:tcPr>
            <w:tcW w:w="985" w:type="dxa"/>
          </w:tcPr>
          <w:p w14:paraId="386EBC70" w14:textId="77777777" w:rsidR="00D913CC" w:rsidRPr="001F0BE5" w:rsidRDefault="00D913CC" w:rsidP="00D913CC">
            <w:pPr>
              <w:autoSpaceDE w:val="0"/>
              <w:autoSpaceDN w:val="0"/>
              <w:adjustRightInd w:val="0"/>
              <w:jc w:val="both"/>
              <w:rPr>
                <w:rFonts w:ascii="Tahoma" w:hAnsi="Tahoma" w:cs="Tahoma"/>
                <w:sz w:val="14"/>
                <w:szCs w:val="14"/>
              </w:rPr>
            </w:pPr>
            <w:r>
              <w:rPr>
                <w:rFonts w:ascii="Tahoma" w:hAnsi="Tahoma" w:cs="Tahoma"/>
                <w:sz w:val="14"/>
                <w:szCs w:val="14"/>
              </w:rPr>
              <w:t>E (7)</w:t>
            </w:r>
          </w:p>
        </w:tc>
      </w:tr>
      <w:tr w:rsidR="00D913CC" w:rsidRPr="004C737E" w14:paraId="7EE47A7E" w14:textId="77777777" w:rsidTr="002F6E8F">
        <w:tc>
          <w:tcPr>
            <w:tcW w:w="704" w:type="dxa"/>
          </w:tcPr>
          <w:p w14:paraId="4477432B" w14:textId="13098563" w:rsidR="00D913CC" w:rsidRPr="004C737E" w:rsidRDefault="00D913CC" w:rsidP="00D913CC">
            <w:pPr>
              <w:autoSpaceDE w:val="0"/>
              <w:autoSpaceDN w:val="0"/>
              <w:adjustRightInd w:val="0"/>
              <w:jc w:val="both"/>
              <w:rPr>
                <w:rFonts w:ascii="Tahoma" w:hAnsi="Tahoma" w:cs="Tahoma"/>
                <w:i/>
                <w:color w:val="0070C0"/>
                <w:sz w:val="14"/>
                <w:szCs w:val="14"/>
              </w:rPr>
            </w:pPr>
            <w:r>
              <w:rPr>
                <w:rFonts w:ascii="Tahoma" w:hAnsi="Tahoma" w:cs="Tahoma"/>
                <w:i/>
                <w:color w:val="0070C0"/>
                <w:sz w:val="14"/>
                <w:szCs w:val="14"/>
              </w:rPr>
              <w:t>2.4</w:t>
            </w:r>
          </w:p>
        </w:tc>
        <w:tc>
          <w:tcPr>
            <w:tcW w:w="2920" w:type="dxa"/>
          </w:tcPr>
          <w:p w14:paraId="2E589353" w14:textId="17ABA8E1" w:rsidR="00D913CC" w:rsidRPr="004C737E" w:rsidRDefault="00D913CC" w:rsidP="00D913CC">
            <w:pPr>
              <w:autoSpaceDE w:val="0"/>
              <w:autoSpaceDN w:val="0"/>
              <w:adjustRightInd w:val="0"/>
              <w:jc w:val="both"/>
              <w:rPr>
                <w:rFonts w:ascii="Tahoma" w:hAnsi="Tahoma" w:cs="Tahoma"/>
                <w:i/>
                <w:color w:val="0070C0"/>
                <w:sz w:val="14"/>
                <w:szCs w:val="14"/>
              </w:rPr>
            </w:pPr>
            <w:r>
              <w:rPr>
                <w:rFonts w:ascii="Tahoma" w:hAnsi="Tahoma" w:cs="Tahoma"/>
                <w:i/>
                <w:color w:val="0070C0"/>
                <w:sz w:val="14"/>
                <w:szCs w:val="14"/>
              </w:rPr>
              <w:t>Montant du no-show comptabilisé sur l’année</w:t>
            </w:r>
          </w:p>
        </w:tc>
        <w:tc>
          <w:tcPr>
            <w:tcW w:w="3175" w:type="dxa"/>
          </w:tcPr>
          <w:p w14:paraId="1718B4AA" w14:textId="7DEC00F2" w:rsidR="00D913CC" w:rsidRPr="004C737E" w:rsidRDefault="00D913CC" w:rsidP="00D913CC">
            <w:pPr>
              <w:autoSpaceDE w:val="0"/>
              <w:autoSpaceDN w:val="0"/>
              <w:adjustRightInd w:val="0"/>
              <w:jc w:val="both"/>
              <w:rPr>
                <w:rFonts w:ascii="Tahoma" w:hAnsi="Tahoma" w:cs="Tahoma"/>
                <w:i/>
                <w:color w:val="0070C0"/>
                <w:sz w:val="14"/>
                <w:szCs w:val="14"/>
              </w:rPr>
            </w:pPr>
            <w:r>
              <w:rPr>
                <w:rFonts w:ascii="Tahoma" w:hAnsi="Tahoma" w:cs="Tahoma"/>
                <w:i/>
                <w:color w:val="0070C0"/>
                <w:sz w:val="14"/>
                <w:szCs w:val="14"/>
              </w:rPr>
              <w:t>Montant des titres émis non utilisés et périmés</w:t>
            </w:r>
          </w:p>
        </w:tc>
        <w:tc>
          <w:tcPr>
            <w:tcW w:w="1276" w:type="dxa"/>
          </w:tcPr>
          <w:p w14:paraId="29D7AB9C" w14:textId="76731D18" w:rsidR="00D913CC" w:rsidRPr="004C737E" w:rsidRDefault="00D913CC" w:rsidP="00D913CC">
            <w:pPr>
              <w:autoSpaceDE w:val="0"/>
              <w:autoSpaceDN w:val="0"/>
              <w:adjustRightInd w:val="0"/>
              <w:jc w:val="both"/>
              <w:rPr>
                <w:rFonts w:ascii="Tahoma" w:hAnsi="Tahoma" w:cs="Tahoma"/>
                <w:i/>
                <w:color w:val="0070C0"/>
                <w:sz w:val="14"/>
                <w:szCs w:val="14"/>
              </w:rPr>
            </w:pPr>
            <w:r>
              <w:rPr>
                <w:rFonts w:ascii="Tahoma" w:hAnsi="Tahoma" w:cs="Tahoma"/>
                <w:i/>
                <w:color w:val="0070C0"/>
                <w:sz w:val="14"/>
                <w:szCs w:val="14"/>
              </w:rPr>
              <w:t>Papier ou Digital</w:t>
            </w:r>
          </w:p>
        </w:tc>
        <w:tc>
          <w:tcPr>
            <w:tcW w:w="985" w:type="dxa"/>
          </w:tcPr>
          <w:p w14:paraId="51DF4EF2" w14:textId="0B8F13B0" w:rsidR="00D913CC" w:rsidRPr="004C737E" w:rsidRDefault="00D913CC" w:rsidP="00D913CC">
            <w:pPr>
              <w:autoSpaceDE w:val="0"/>
              <w:autoSpaceDN w:val="0"/>
              <w:adjustRightInd w:val="0"/>
              <w:jc w:val="both"/>
              <w:rPr>
                <w:rFonts w:ascii="Tahoma" w:hAnsi="Tahoma" w:cs="Tahoma"/>
                <w:i/>
                <w:color w:val="0070C0"/>
                <w:sz w:val="14"/>
                <w:szCs w:val="14"/>
              </w:rPr>
            </w:pPr>
            <w:r>
              <w:rPr>
                <w:rFonts w:ascii="Tahoma" w:hAnsi="Tahoma" w:cs="Tahoma"/>
                <w:i/>
                <w:color w:val="0070C0"/>
                <w:sz w:val="14"/>
                <w:szCs w:val="14"/>
              </w:rPr>
              <w:t>E (10)</w:t>
            </w:r>
          </w:p>
        </w:tc>
      </w:tr>
    </w:tbl>
    <w:p w14:paraId="33898193" w14:textId="25E53537" w:rsidR="00CB6F9F" w:rsidRDefault="00CB6F9F" w:rsidP="00CB6F9F">
      <w:pPr>
        <w:spacing w:before="0" w:beforeAutospacing="0" w:after="0" w:afterAutospacing="0"/>
        <w:rPr>
          <w:sz w:val="20"/>
        </w:rPr>
      </w:pPr>
    </w:p>
    <w:p w14:paraId="65374410" w14:textId="51846CBA" w:rsidR="00CB6F9F" w:rsidRDefault="00CB6F9F" w:rsidP="00CB6F9F">
      <w:pPr>
        <w:spacing w:before="0" w:beforeAutospacing="0" w:after="0" w:afterAutospacing="0"/>
        <w:rPr>
          <w:szCs w:val="18"/>
        </w:rPr>
      </w:pPr>
      <w:r w:rsidRPr="00232940">
        <w:rPr>
          <w:szCs w:val="18"/>
        </w:rPr>
        <w:t>E</w:t>
      </w:r>
      <w:r w:rsidR="006829D5">
        <w:rPr>
          <w:szCs w:val="18"/>
        </w:rPr>
        <w:t xml:space="preserve"> </w:t>
      </w:r>
      <w:r w:rsidRPr="00232940">
        <w:rPr>
          <w:szCs w:val="18"/>
        </w:rPr>
        <w:t>(X) : nombre entier d’un nombre de caractères inférieur ou égal à X.</w:t>
      </w:r>
    </w:p>
    <w:p w14:paraId="28EC1DAF" w14:textId="3D88C43E" w:rsidR="000B3B1B" w:rsidRDefault="000B3B1B" w:rsidP="00CB6F9F">
      <w:pPr>
        <w:spacing w:before="0" w:beforeAutospacing="0" w:after="0" w:afterAutospacing="0"/>
        <w:rPr>
          <w:szCs w:val="18"/>
        </w:rPr>
      </w:pPr>
    </w:p>
    <w:p w14:paraId="394187BB" w14:textId="77777777" w:rsidR="000B3B1B" w:rsidRPr="000B3B1B" w:rsidRDefault="000B3B1B" w:rsidP="000B3B1B">
      <w:pPr>
        <w:spacing w:before="0" w:beforeAutospacing="0" w:after="0" w:afterAutospacing="0"/>
        <w:rPr>
          <w:rFonts w:eastAsiaTheme="majorEastAsia" w:cs="Arial"/>
          <w:sz w:val="20"/>
          <w:lang w:eastAsia="en-US"/>
        </w:rPr>
      </w:pPr>
      <w:r w:rsidRPr="000B3B1B">
        <w:rPr>
          <w:rFonts w:cs="Arial"/>
          <w:sz w:val="20"/>
        </w:rPr>
        <w:t>Vérifier pour chacun des titres, les égalités suivantes :</w:t>
      </w:r>
    </w:p>
    <w:p w14:paraId="2200E0BC" w14:textId="77777777" w:rsidR="000B3B1B" w:rsidRPr="00713FF0" w:rsidRDefault="000B3B1B" w:rsidP="000B3B1B">
      <w:pPr>
        <w:pStyle w:val="Paragraphedeliste"/>
        <w:numPr>
          <w:ilvl w:val="0"/>
          <w:numId w:val="5"/>
        </w:numPr>
        <w:spacing w:before="0" w:beforeAutospacing="0" w:after="0" w:afterAutospacing="0"/>
        <w:ind w:left="1416"/>
        <w:rPr>
          <w:rFonts w:eastAsiaTheme="majorEastAsia" w:cs="Arial"/>
          <w:sz w:val="20"/>
          <w:lang w:eastAsia="en-US"/>
        </w:rPr>
      </w:pPr>
      <w:r w:rsidRPr="00713FF0">
        <w:rPr>
          <w:rFonts w:eastAsiaTheme="majorEastAsia" w:cs="Arial"/>
          <w:sz w:val="20"/>
          <w:lang w:eastAsia="en-US"/>
        </w:rPr>
        <w:t>Ligne 2.1. : Dans chaque colonne, contrôle de somme avec les lignes suivantes : 2.1. = 2.1.1 +</w:t>
      </w:r>
      <w:r>
        <w:rPr>
          <w:rFonts w:eastAsiaTheme="majorEastAsia" w:cs="Arial"/>
          <w:sz w:val="20"/>
          <w:lang w:eastAsia="en-US"/>
        </w:rPr>
        <w:t xml:space="preserve"> </w:t>
      </w:r>
      <w:r w:rsidRPr="00713FF0">
        <w:rPr>
          <w:rFonts w:eastAsiaTheme="majorEastAsia" w:cs="Arial"/>
          <w:sz w:val="20"/>
          <w:lang w:eastAsia="en-US"/>
        </w:rPr>
        <w:t>2.1.2 (digital) ou 2.1 = 2.1.3 (papier) ;</w:t>
      </w:r>
    </w:p>
    <w:p w14:paraId="16BA50EF" w14:textId="77777777" w:rsidR="000B3B1B" w:rsidRPr="00713FF0" w:rsidRDefault="000B3B1B" w:rsidP="000B3B1B">
      <w:pPr>
        <w:pStyle w:val="Paragraphedeliste"/>
        <w:numPr>
          <w:ilvl w:val="0"/>
          <w:numId w:val="5"/>
        </w:numPr>
        <w:spacing w:before="0" w:beforeAutospacing="0" w:after="0" w:afterAutospacing="0"/>
        <w:ind w:left="1416"/>
        <w:rPr>
          <w:rFonts w:eastAsiaTheme="majorEastAsia" w:cs="Arial"/>
          <w:sz w:val="20"/>
          <w:lang w:eastAsia="en-US"/>
        </w:rPr>
      </w:pPr>
      <w:r w:rsidRPr="00713FF0">
        <w:rPr>
          <w:rFonts w:eastAsiaTheme="majorEastAsia" w:cs="Arial"/>
          <w:sz w:val="20"/>
          <w:lang w:eastAsia="en-US"/>
        </w:rPr>
        <w:t>Ligne 2.2. : Dans chaque colonne, contrôle de somme avec les lignes suivantes: 2.2. = 2.2.1 +</w:t>
      </w:r>
      <w:r>
        <w:rPr>
          <w:rFonts w:eastAsiaTheme="majorEastAsia" w:cs="Arial"/>
          <w:sz w:val="20"/>
          <w:lang w:eastAsia="en-US"/>
        </w:rPr>
        <w:t xml:space="preserve"> </w:t>
      </w:r>
      <w:r w:rsidRPr="00713FF0">
        <w:rPr>
          <w:rFonts w:eastAsiaTheme="majorEastAsia" w:cs="Arial"/>
          <w:sz w:val="20"/>
          <w:lang w:eastAsia="en-US"/>
        </w:rPr>
        <w:t>2.2.2 (digital) ou 2.2= 2.2.3 (papier).</w:t>
      </w:r>
    </w:p>
    <w:p w14:paraId="42DD5704" w14:textId="77777777" w:rsidR="000B3B1B" w:rsidRPr="00232940" w:rsidRDefault="000B3B1B" w:rsidP="00CB6F9F">
      <w:pPr>
        <w:spacing w:before="0" w:beforeAutospacing="0" w:after="0" w:afterAutospacing="0"/>
        <w:rPr>
          <w:szCs w:val="18"/>
        </w:rPr>
      </w:pPr>
    </w:p>
    <w:p w14:paraId="4EAAC3EA" w14:textId="0CB17576" w:rsidR="000B5F02" w:rsidRDefault="000B5F02" w:rsidP="000B5F02">
      <w:pPr>
        <w:pStyle w:val="Titre3"/>
        <w:numPr>
          <w:ilvl w:val="2"/>
          <w:numId w:val="19"/>
        </w:numPr>
      </w:pPr>
      <w:bookmarkStart w:id="18" w:name="_Toc158133141"/>
      <w:r>
        <w:t>Onglet « Fraude »</w:t>
      </w:r>
      <w:bookmarkEnd w:id="18"/>
    </w:p>
    <w:p w14:paraId="604876A9" w14:textId="56A5BF2D" w:rsidR="002F6E8F" w:rsidRPr="002F6E8F" w:rsidRDefault="002F6E8F" w:rsidP="002F6E8F">
      <w:pPr>
        <w:spacing w:after="0" w:afterAutospacing="0"/>
        <w:jc w:val="both"/>
        <w:rPr>
          <w:rFonts w:cs="Arial"/>
          <w:bCs/>
          <w:sz w:val="20"/>
        </w:rPr>
      </w:pPr>
      <w:r w:rsidRPr="002F6E8F">
        <w:rPr>
          <w:rFonts w:cs="Arial"/>
          <w:bCs/>
          <w:sz w:val="20"/>
        </w:rPr>
        <w:t>Les informations rapportées dans la colonne « Définition » précise</w:t>
      </w:r>
      <w:r>
        <w:rPr>
          <w:rFonts w:cs="Arial"/>
          <w:bCs/>
          <w:sz w:val="20"/>
        </w:rPr>
        <w:t>nt</w:t>
      </w:r>
      <w:r w:rsidRPr="002F6E8F">
        <w:rPr>
          <w:rFonts w:cs="Arial"/>
          <w:bCs/>
          <w:sz w:val="20"/>
        </w:rPr>
        <w:t xml:space="preserve"> les attendus de l’IEOM en termes de renseignement des différentes cellules du tableau</w:t>
      </w:r>
      <w:r w:rsidR="006870C6">
        <w:rPr>
          <w:rFonts w:cs="Arial"/>
          <w:bCs/>
          <w:sz w:val="20"/>
        </w:rPr>
        <w:t xml:space="preserve"> de l’onglet</w:t>
      </w:r>
      <w:r w:rsidRPr="002F6E8F">
        <w:rPr>
          <w:rFonts w:cs="Arial"/>
          <w:bCs/>
          <w:sz w:val="20"/>
        </w:rPr>
        <w:t xml:space="preserve"> «</w:t>
      </w:r>
      <w:r>
        <w:rPr>
          <w:rFonts w:cs="Arial"/>
          <w:bCs/>
          <w:sz w:val="20"/>
        </w:rPr>
        <w:t> Fraude </w:t>
      </w:r>
      <w:r w:rsidR="00CB6F9F" w:rsidRPr="002F6E8F">
        <w:rPr>
          <w:rFonts w:cs="Arial"/>
          <w:bCs/>
          <w:sz w:val="20"/>
        </w:rPr>
        <w:t>».</w:t>
      </w:r>
      <w:r w:rsidRPr="002F6E8F">
        <w:rPr>
          <w:rFonts w:cs="Arial"/>
          <w:bCs/>
          <w:sz w:val="20"/>
        </w:rPr>
        <w:t xml:space="preserve"> </w:t>
      </w:r>
    </w:p>
    <w:p w14:paraId="56FD19EB" w14:textId="77777777" w:rsidR="002F6E8F" w:rsidRPr="002F6E8F" w:rsidRDefault="002F6E8F" w:rsidP="002F6E8F">
      <w:pPr>
        <w:autoSpaceDE w:val="0"/>
        <w:autoSpaceDN w:val="0"/>
        <w:adjustRightInd w:val="0"/>
        <w:spacing w:before="0" w:beforeAutospacing="0" w:after="0" w:afterAutospacing="0"/>
        <w:jc w:val="both"/>
        <w:rPr>
          <w:rFonts w:cs="Arial"/>
          <w:sz w:val="20"/>
        </w:rPr>
      </w:pPr>
    </w:p>
    <w:tbl>
      <w:tblPr>
        <w:tblStyle w:val="Grilledutableau"/>
        <w:tblW w:w="0" w:type="auto"/>
        <w:tblLook w:val="04A0" w:firstRow="1" w:lastRow="0" w:firstColumn="1" w:lastColumn="0" w:noHBand="0" w:noVBand="1"/>
      </w:tblPr>
      <w:tblGrid>
        <w:gridCol w:w="704"/>
        <w:gridCol w:w="2920"/>
        <w:gridCol w:w="6010"/>
        <w:gridCol w:w="2127"/>
      </w:tblGrid>
      <w:tr w:rsidR="001D6508" w:rsidRPr="001F0BE5" w14:paraId="222B488F" w14:textId="77777777" w:rsidTr="00570C50">
        <w:tc>
          <w:tcPr>
            <w:tcW w:w="704" w:type="dxa"/>
          </w:tcPr>
          <w:p w14:paraId="205421EB" w14:textId="77777777" w:rsidR="001D6508" w:rsidRPr="001F0BE5" w:rsidRDefault="001D6508" w:rsidP="006870C6">
            <w:pPr>
              <w:autoSpaceDE w:val="0"/>
              <w:autoSpaceDN w:val="0"/>
              <w:adjustRightInd w:val="0"/>
              <w:jc w:val="center"/>
              <w:rPr>
                <w:rFonts w:ascii="Tahoma" w:hAnsi="Tahoma" w:cs="Tahoma"/>
                <w:sz w:val="14"/>
                <w:szCs w:val="14"/>
              </w:rPr>
            </w:pPr>
            <w:r w:rsidRPr="001F0BE5">
              <w:rPr>
                <w:rFonts w:ascii="Tahoma" w:hAnsi="Tahoma" w:cs="Tahoma"/>
                <w:sz w:val="14"/>
                <w:szCs w:val="14"/>
              </w:rPr>
              <w:t>N° ligne</w:t>
            </w:r>
          </w:p>
        </w:tc>
        <w:tc>
          <w:tcPr>
            <w:tcW w:w="2920" w:type="dxa"/>
          </w:tcPr>
          <w:p w14:paraId="56A5FE53" w14:textId="77777777" w:rsidR="001D6508" w:rsidRPr="001F0BE5" w:rsidRDefault="001D6508" w:rsidP="006870C6">
            <w:pPr>
              <w:autoSpaceDE w:val="0"/>
              <w:autoSpaceDN w:val="0"/>
              <w:adjustRightInd w:val="0"/>
              <w:jc w:val="center"/>
              <w:rPr>
                <w:rFonts w:ascii="Tahoma" w:hAnsi="Tahoma" w:cs="Tahoma"/>
                <w:sz w:val="14"/>
                <w:szCs w:val="14"/>
              </w:rPr>
            </w:pPr>
            <w:r>
              <w:rPr>
                <w:rFonts w:ascii="Tahoma" w:hAnsi="Tahoma" w:cs="Tahoma"/>
                <w:sz w:val="14"/>
                <w:szCs w:val="14"/>
              </w:rPr>
              <w:t>Intitulé</w:t>
            </w:r>
          </w:p>
        </w:tc>
        <w:tc>
          <w:tcPr>
            <w:tcW w:w="6010" w:type="dxa"/>
          </w:tcPr>
          <w:p w14:paraId="391A9AB5" w14:textId="77777777" w:rsidR="001D6508" w:rsidRPr="001F0BE5" w:rsidRDefault="001D6508" w:rsidP="006870C6">
            <w:pPr>
              <w:autoSpaceDE w:val="0"/>
              <w:autoSpaceDN w:val="0"/>
              <w:adjustRightInd w:val="0"/>
              <w:jc w:val="center"/>
              <w:rPr>
                <w:rFonts w:ascii="Tahoma" w:hAnsi="Tahoma" w:cs="Tahoma"/>
                <w:sz w:val="14"/>
                <w:szCs w:val="14"/>
              </w:rPr>
            </w:pPr>
            <w:r>
              <w:rPr>
                <w:rFonts w:ascii="Tahoma" w:hAnsi="Tahoma" w:cs="Tahoma"/>
                <w:sz w:val="14"/>
                <w:szCs w:val="14"/>
              </w:rPr>
              <w:t>Définition</w:t>
            </w:r>
          </w:p>
        </w:tc>
        <w:tc>
          <w:tcPr>
            <w:tcW w:w="2127" w:type="dxa"/>
          </w:tcPr>
          <w:p w14:paraId="45D547AB" w14:textId="77777777" w:rsidR="001D6508" w:rsidRPr="001F0BE5" w:rsidRDefault="001D6508" w:rsidP="006870C6">
            <w:pPr>
              <w:autoSpaceDE w:val="0"/>
              <w:autoSpaceDN w:val="0"/>
              <w:adjustRightInd w:val="0"/>
              <w:jc w:val="center"/>
              <w:rPr>
                <w:rFonts w:ascii="Tahoma" w:hAnsi="Tahoma" w:cs="Tahoma"/>
                <w:sz w:val="14"/>
                <w:szCs w:val="14"/>
              </w:rPr>
            </w:pPr>
            <w:r>
              <w:rPr>
                <w:rFonts w:ascii="Tahoma" w:hAnsi="Tahoma" w:cs="Tahoma"/>
                <w:sz w:val="14"/>
                <w:szCs w:val="14"/>
              </w:rPr>
              <w:t>Format des champs</w:t>
            </w:r>
          </w:p>
        </w:tc>
      </w:tr>
      <w:tr w:rsidR="001D6508" w:rsidRPr="00BA7475" w14:paraId="10604EF3" w14:textId="77777777" w:rsidTr="00570C50">
        <w:tc>
          <w:tcPr>
            <w:tcW w:w="704" w:type="dxa"/>
          </w:tcPr>
          <w:p w14:paraId="171DC838" w14:textId="77777777" w:rsidR="001D6508" w:rsidRPr="00BA7475" w:rsidRDefault="001D6508" w:rsidP="002F6E8F">
            <w:pPr>
              <w:autoSpaceDE w:val="0"/>
              <w:autoSpaceDN w:val="0"/>
              <w:adjustRightInd w:val="0"/>
              <w:jc w:val="both"/>
              <w:rPr>
                <w:rFonts w:ascii="Tahoma" w:hAnsi="Tahoma" w:cs="Tahoma"/>
                <w:sz w:val="14"/>
                <w:szCs w:val="14"/>
              </w:rPr>
            </w:pPr>
          </w:p>
        </w:tc>
        <w:tc>
          <w:tcPr>
            <w:tcW w:w="2920" w:type="dxa"/>
          </w:tcPr>
          <w:p w14:paraId="6C96B780" w14:textId="77777777" w:rsidR="001D6508" w:rsidRPr="00BA7475" w:rsidRDefault="001D6508" w:rsidP="002F6E8F">
            <w:pPr>
              <w:autoSpaceDE w:val="0"/>
              <w:autoSpaceDN w:val="0"/>
              <w:adjustRightInd w:val="0"/>
              <w:jc w:val="both"/>
              <w:rPr>
                <w:rFonts w:ascii="Tahoma" w:hAnsi="Tahoma" w:cs="Tahoma"/>
                <w:sz w:val="14"/>
                <w:szCs w:val="14"/>
              </w:rPr>
            </w:pPr>
            <w:r w:rsidRPr="00BA7475">
              <w:rPr>
                <w:rFonts w:ascii="Tahoma" w:hAnsi="Tahoma" w:cs="Tahoma"/>
                <w:sz w:val="14"/>
                <w:szCs w:val="14"/>
              </w:rPr>
              <w:t>Nom commercial du titre</w:t>
            </w:r>
          </w:p>
        </w:tc>
        <w:tc>
          <w:tcPr>
            <w:tcW w:w="6010" w:type="dxa"/>
          </w:tcPr>
          <w:p w14:paraId="6D0A9B50" w14:textId="77777777" w:rsidR="001D6508" w:rsidRPr="00BA7475" w:rsidRDefault="001D6508" w:rsidP="002F6E8F">
            <w:pPr>
              <w:autoSpaceDE w:val="0"/>
              <w:autoSpaceDN w:val="0"/>
              <w:adjustRightInd w:val="0"/>
              <w:jc w:val="both"/>
              <w:rPr>
                <w:rFonts w:ascii="Tahoma" w:hAnsi="Tahoma" w:cs="Tahoma"/>
                <w:sz w:val="14"/>
                <w:szCs w:val="14"/>
              </w:rPr>
            </w:pPr>
          </w:p>
        </w:tc>
        <w:tc>
          <w:tcPr>
            <w:tcW w:w="2127" w:type="dxa"/>
          </w:tcPr>
          <w:p w14:paraId="3EFD2424" w14:textId="77777777" w:rsidR="001D6508" w:rsidRPr="00BA7475" w:rsidRDefault="001D6508" w:rsidP="002F6E8F">
            <w:pPr>
              <w:autoSpaceDE w:val="0"/>
              <w:autoSpaceDN w:val="0"/>
              <w:adjustRightInd w:val="0"/>
              <w:jc w:val="both"/>
              <w:rPr>
                <w:rFonts w:ascii="Tahoma" w:hAnsi="Tahoma" w:cs="Tahoma"/>
                <w:sz w:val="14"/>
                <w:szCs w:val="14"/>
              </w:rPr>
            </w:pPr>
            <w:r>
              <w:rPr>
                <w:rFonts w:ascii="Tahoma" w:hAnsi="Tahoma" w:cs="Tahoma"/>
                <w:sz w:val="14"/>
                <w:szCs w:val="14"/>
              </w:rPr>
              <w:t>AN (50)</w:t>
            </w:r>
          </w:p>
        </w:tc>
      </w:tr>
      <w:tr w:rsidR="001D6508" w:rsidRPr="00BA7475" w14:paraId="53ABB2E6" w14:textId="77777777" w:rsidTr="00570C50">
        <w:tc>
          <w:tcPr>
            <w:tcW w:w="704" w:type="dxa"/>
          </w:tcPr>
          <w:p w14:paraId="59C179E5" w14:textId="77777777" w:rsidR="001D6508" w:rsidRPr="00BA7475" w:rsidRDefault="001D6508" w:rsidP="002F6E8F">
            <w:pPr>
              <w:autoSpaceDE w:val="0"/>
              <w:autoSpaceDN w:val="0"/>
              <w:adjustRightInd w:val="0"/>
              <w:jc w:val="both"/>
              <w:rPr>
                <w:rFonts w:ascii="Tahoma" w:hAnsi="Tahoma" w:cs="Tahoma"/>
                <w:sz w:val="14"/>
                <w:szCs w:val="14"/>
              </w:rPr>
            </w:pPr>
          </w:p>
        </w:tc>
        <w:tc>
          <w:tcPr>
            <w:tcW w:w="2920" w:type="dxa"/>
            <w:vAlign w:val="center"/>
          </w:tcPr>
          <w:p w14:paraId="6E6E3A2E" w14:textId="77777777" w:rsidR="001D6508" w:rsidRPr="00BA7475" w:rsidRDefault="001D6508" w:rsidP="002F6E8F">
            <w:pPr>
              <w:autoSpaceDE w:val="0"/>
              <w:autoSpaceDN w:val="0"/>
              <w:adjustRightInd w:val="0"/>
              <w:jc w:val="both"/>
              <w:rPr>
                <w:rFonts w:ascii="Tahoma" w:hAnsi="Tahoma" w:cs="Tahoma"/>
                <w:sz w:val="14"/>
                <w:szCs w:val="14"/>
              </w:rPr>
            </w:pPr>
            <w:r w:rsidRPr="00BA7475">
              <w:rPr>
                <w:rFonts w:ascii="Tahoma" w:hAnsi="Tahoma" w:cs="Tahoma"/>
                <w:color w:val="000000"/>
                <w:sz w:val="14"/>
                <w:szCs w:val="14"/>
              </w:rPr>
              <w:t>Nature juridique (TSPD, IPS, CESU)</w:t>
            </w:r>
          </w:p>
        </w:tc>
        <w:tc>
          <w:tcPr>
            <w:tcW w:w="6010" w:type="dxa"/>
          </w:tcPr>
          <w:p w14:paraId="15BAD772" w14:textId="3E0AA1FB" w:rsidR="001D6508" w:rsidRPr="00BA7475" w:rsidRDefault="001D6508" w:rsidP="002F6E8F">
            <w:pPr>
              <w:autoSpaceDE w:val="0"/>
              <w:autoSpaceDN w:val="0"/>
              <w:adjustRightInd w:val="0"/>
              <w:jc w:val="both"/>
              <w:rPr>
                <w:rFonts w:ascii="Tahoma" w:hAnsi="Tahoma" w:cs="Tahoma"/>
                <w:sz w:val="14"/>
                <w:szCs w:val="14"/>
              </w:rPr>
            </w:pPr>
            <w:r w:rsidRPr="001D6508">
              <w:rPr>
                <w:rFonts w:ascii="Tahoma" w:hAnsi="Tahoma" w:cs="Tahoma"/>
                <w:i/>
                <w:color w:val="0070C0"/>
                <w:sz w:val="14"/>
                <w:szCs w:val="14"/>
              </w:rPr>
              <w:t>Préciser la nature juridique de l’instrument : TSPD, IPS ou CESU</w:t>
            </w:r>
          </w:p>
        </w:tc>
        <w:tc>
          <w:tcPr>
            <w:tcW w:w="2127" w:type="dxa"/>
          </w:tcPr>
          <w:p w14:paraId="4CFE5264" w14:textId="71914825" w:rsidR="001D6508" w:rsidRPr="00BA7475" w:rsidRDefault="001D6508" w:rsidP="002F6E8F">
            <w:pPr>
              <w:autoSpaceDE w:val="0"/>
              <w:autoSpaceDN w:val="0"/>
              <w:adjustRightInd w:val="0"/>
              <w:jc w:val="both"/>
              <w:rPr>
                <w:rFonts w:ascii="Tahoma" w:hAnsi="Tahoma" w:cs="Tahoma"/>
                <w:sz w:val="14"/>
                <w:szCs w:val="14"/>
              </w:rPr>
            </w:pPr>
          </w:p>
        </w:tc>
      </w:tr>
      <w:tr w:rsidR="001D6508" w:rsidRPr="00BA7475" w14:paraId="799F9342" w14:textId="77777777" w:rsidTr="00570C50">
        <w:tc>
          <w:tcPr>
            <w:tcW w:w="704" w:type="dxa"/>
          </w:tcPr>
          <w:p w14:paraId="7CFB02F5" w14:textId="77777777" w:rsidR="001D6508" w:rsidRPr="00BA7475" w:rsidRDefault="001D6508" w:rsidP="002F6E8F">
            <w:pPr>
              <w:autoSpaceDE w:val="0"/>
              <w:autoSpaceDN w:val="0"/>
              <w:adjustRightInd w:val="0"/>
              <w:jc w:val="both"/>
              <w:rPr>
                <w:rFonts w:ascii="Tahoma" w:hAnsi="Tahoma" w:cs="Tahoma"/>
                <w:sz w:val="14"/>
                <w:szCs w:val="14"/>
              </w:rPr>
            </w:pPr>
          </w:p>
        </w:tc>
        <w:tc>
          <w:tcPr>
            <w:tcW w:w="2920" w:type="dxa"/>
          </w:tcPr>
          <w:p w14:paraId="44AD764D" w14:textId="77777777" w:rsidR="001D6508" w:rsidRPr="00BA7475" w:rsidRDefault="001D6508" w:rsidP="002F6E8F">
            <w:pPr>
              <w:autoSpaceDE w:val="0"/>
              <w:autoSpaceDN w:val="0"/>
              <w:adjustRightInd w:val="0"/>
              <w:jc w:val="both"/>
              <w:rPr>
                <w:rFonts w:ascii="Tahoma" w:hAnsi="Tahoma" w:cs="Tahoma"/>
                <w:sz w:val="14"/>
                <w:szCs w:val="14"/>
              </w:rPr>
            </w:pPr>
            <w:r w:rsidRPr="00BA7475">
              <w:rPr>
                <w:rFonts w:ascii="Tahoma" w:hAnsi="Tahoma" w:cs="Tahoma"/>
                <w:color w:val="000000"/>
                <w:sz w:val="14"/>
                <w:szCs w:val="14"/>
              </w:rPr>
              <w:t>Format (Digital ou papier)</w:t>
            </w:r>
          </w:p>
        </w:tc>
        <w:tc>
          <w:tcPr>
            <w:tcW w:w="6010" w:type="dxa"/>
          </w:tcPr>
          <w:p w14:paraId="4DA04735" w14:textId="54155BC4" w:rsidR="001D6508" w:rsidRPr="00BA7475" w:rsidRDefault="001D6508" w:rsidP="002F6E8F">
            <w:pPr>
              <w:autoSpaceDE w:val="0"/>
              <w:autoSpaceDN w:val="0"/>
              <w:adjustRightInd w:val="0"/>
              <w:jc w:val="both"/>
              <w:rPr>
                <w:rFonts w:ascii="Tahoma" w:hAnsi="Tahoma" w:cs="Tahoma"/>
                <w:sz w:val="14"/>
                <w:szCs w:val="14"/>
              </w:rPr>
            </w:pPr>
            <w:r w:rsidRPr="001D6508">
              <w:rPr>
                <w:rFonts w:ascii="Tahoma" w:hAnsi="Tahoma" w:cs="Tahoma"/>
                <w:i/>
                <w:color w:val="0070C0"/>
                <w:sz w:val="14"/>
                <w:szCs w:val="14"/>
              </w:rPr>
              <w:t>Préciser le format de l’instrument : digital ou papier</w:t>
            </w:r>
          </w:p>
        </w:tc>
        <w:tc>
          <w:tcPr>
            <w:tcW w:w="2127" w:type="dxa"/>
          </w:tcPr>
          <w:p w14:paraId="473C9150" w14:textId="6D89ABC6" w:rsidR="001D6508" w:rsidRPr="00BA7475" w:rsidRDefault="001D6508" w:rsidP="00D92318">
            <w:pPr>
              <w:autoSpaceDE w:val="0"/>
              <w:autoSpaceDN w:val="0"/>
              <w:adjustRightInd w:val="0"/>
              <w:jc w:val="both"/>
              <w:rPr>
                <w:rFonts w:ascii="Tahoma" w:hAnsi="Tahoma" w:cs="Tahoma"/>
                <w:sz w:val="14"/>
                <w:szCs w:val="14"/>
              </w:rPr>
            </w:pPr>
          </w:p>
        </w:tc>
      </w:tr>
      <w:tr w:rsidR="001D6508" w:rsidRPr="00BA7475" w14:paraId="5C20A11D" w14:textId="77777777" w:rsidTr="00570C50">
        <w:tc>
          <w:tcPr>
            <w:tcW w:w="704" w:type="dxa"/>
            <w:shd w:val="clear" w:color="auto" w:fill="B8CCE4" w:themeFill="accent1" w:themeFillTint="66"/>
          </w:tcPr>
          <w:p w14:paraId="79E14C13" w14:textId="77777777" w:rsidR="001D6508" w:rsidRPr="00BA7475" w:rsidRDefault="001D6508" w:rsidP="002F6E8F">
            <w:pPr>
              <w:autoSpaceDE w:val="0"/>
              <w:autoSpaceDN w:val="0"/>
              <w:adjustRightInd w:val="0"/>
              <w:jc w:val="both"/>
              <w:rPr>
                <w:rFonts w:ascii="Tahoma" w:hAnsi="Tahoma" w:cs="Tahoma"/>
                <w:sz w:val="14"/>
                <w:szCs w:val="14"/>
              </w:rPr>
            </w:pPr>
            <w:r>
              <w:rPr>
                <w:rFonts w:ascii="Tahoma" w:hAnsi="Tahoma" w:cs="Tahoma"/>
                <w:sz w:val="14"/>
                <w:szCs w:val="14"/>
              </w:rPr>
              <w:t>1</w:t>
            </w:r>
            <w:r w:rsidRPr="00BA7475">
              <w:rPr>
                <w:rFonts w:ascii="Tahoma" w:hAnsi="Tahoma" w:cs="Tahoma"/>
                <w:sz w:val="14"/>
                <w:szCs w:val="14"/>
              </w:rPr>
              <w:t>.</w:t>
            </w:r>
          </w:p>
        </w:tc>
        <w:tc>
          <w:tcPr>
            <w:tcW w:w="2920" w:type="dxa"/>
            <w:shd w:val="clear" w:color="auto" w:fill="B8CCE4" w:themeFill="accent1" w:themeFillTint="66"/>
          </w:tcPr>
          <w:p w14:paraId="533073E8" w14:textId="77777777" w:rsidR="001D6508" w:rsidRPr="00BA7475" w:rsidRDefault="001D6508" w:rsidP="002F6E8F">
            <w:pPr>
              <w:autoSpaceDE w:val="0"/>
              <w:autoSpaceDN w:val="0"/>
              <w:adjustRightInd w:val="0"/>
              <w:jc w:val="both"/>
              <w:rPr>
                <w:rFonts w:ascii="Tahoma" w:hAnsi="Tahoma" w:cs="Tahoma"/>
                <w:sz w:val="14"/>
                <w:szCs w:val="14"/>
              </w:rPr>
            </w:pPr>
            <w:r w:rsidRPr="00BA7475">
              <w:rPr>
                <w:rFonts w:ascii="Tahoma" w:hAnsi="Tahoma" w:cs="Tahoma"/>
                <w:bCs/>
                <w:sz w:val="14"/>
                <w:szCs w:val="14"/>
              </w:rPr>
              <w:t>Fraude enregistrée dans l’année</w:t>
            </w:r>
          </w:p>
        </w:tc>
        <w:tc>
          <w:tcPr>
            <w:tcW w:w="6010" w:type="dxa"/>
            <w:shd w:val="clear" w:color="auto" w:fill="B8CCE4" w:themeFill="accent1" w:themeFillTint="66"/>
          </w:tcPr>
          <w:p w14:paraId="04DB60A1" w14:textId="77777777" w:rsidR="001D6508" w:rsidRPr="00BA7475" w:rsidRDefault="001D6508" w:rsidP="002F6E8F">
            <w:pPr>
              <w:autoSpaceDE w:val="0"/>
              <w:autoSpaceDN w:val="0"/>
              <w:adjustRightInd w:val="0"/>
              <w:jc w:val="both"/>
              <w:rPr>
                <w:rFonts w:ascii="Tahoma" w:hAnsi="Tahoma" w:cs="Tahoma"/>
                <w:sz w:val="14"/>
                <w:szCs w:val="14"/>
              </w:rPr>
            </w:pPr>
          </w:p>
        </w:tc>
        <w:tc>
          <w:tcPr>
            <w:tcW w:w="2127" w:type="dxa"/>
            <w:shd w:val="clear" w:color="auto" w:fill="B8CCE4" w:themeFill="accent1" w:themeFillTint="66"/>
          </w:tcPr>
          <w:p w14:paraId="545F03C6" w14:textId="77777777" w:rsidR="001D6508" w:rsidRPr="00BA7475" w:rsidRDefault="001D6508" w:rsidP="002F6E8F">
            <w:pPr>
              <w:autoSpaceDE w:val="0"/>
              <w:autoSpaceDN w:val="0"/>
              <w:adjustRightInd w:val="0"/>
              <w:jc w:val="both"/>
              <w:rPr>
                <w:rFonts w:ascii="Tahoma" w:hAnsi="Tahoma" w:cs="Tahoma"/>
                <w:sz w:val="14"/>
                <w:szCs w:val="14"/>
              </w:rPr>
            </w:pPr>
          </w:p>
        </w:tc>
      </w:tr>
      <w:tr w:rsidR="001D6508" w:rsidRPr="00BA7475" w14:paraId="7EBB40A4" w14:textId="77777777" w:rsidTr="00570C50">
        <w:tc>
          <w:tcPr>
            <w:tcW w:w="704" w:type="dxa"/>
          </w:tcPr>
          <w:p w14:paraId="6AD1BBBC" w14:textId="77777777" w:rsidR="001D6508" w:rsidRPr="00BA7475" w:rsidRDefault="001D6508" w:rsidP="002F6E8F">
            <w:pPr>
              <w:autoSpaceDE w:val="0"/>
              <w:autoSpaceDN w:val="0"/>
              <w:adjustRightInd w:val="0"/>
              <w:jc w:val="both"/>
              <w:rPr>
                <w:rFonts w:ascii="Tahoma" w:hAnsi="Tahoma" w:cs="Tahoma"/>
                <w:sz w:val="14"/>
                <w:szCs w:val="14"/>
              </w:rPr>
            </w:pPr>
            <w:r>
              <w:rPr>
                <w:rFonts w:ascii="Tahoma" w:hAnsi="Tahoma" w:cs="Tahoma"/>
                <w:sz w:val="14"/>
                <w:szCs w:val="14"/>
              </w:rPr>
              <w:t>1</w:t>
            </w:r>
            <w:r w:rsidRPr="00BA7475">
              <w:rPr>
                <w:rFonts w:ascii="Tahoma" w:hAnsi="Tahoma" w:cs="Tahoma"/>
                <w:sz w:val="14"/>
                <w:szCs w:val="14"/>
              </w:rPr>
              <w:t>.1.</w:t>
            </w:r>
          </w:p>
        </w:tc>
        <w:tc>
          <w:tcPr>
            <w:tcW w:w="2920" w:type="dxa"/>
          </w:tcPr>
          <w:p w14:paraId="0B1C1236" w14:textId="77777777" w:rsidR="001D6508" w:rsidRPr="00BA7475" w:rsidRDefault="001D6508" w:rsidP="002F6E8F">
            <w:pPr>
              <w:autoSpaceDE w:val="0"/>
              <w:autoSpaceDN w:val="0"/>
              <w:adjustRightInd w:val="0"/>
              <w:jc w:val="both"/>
              <w:rPr>
                <w:rFonts w:ascii="Tahoma" w:hAnsi="Tahoma" w:cs="Tahoma"/>
                <w:sz w:val="14"/>
                <w:szCs w:val="14"/>
              </w:rPr>
            </w:pPr>
            <w:r w:rsidRPr="00F57489">
              <w:rPr>
                <w:rFonts w:ascii="Tahoma" w:hAnsi="Tahoma" w:cs="Tahoma"/>
                <w:color w:val="000000"/>
                <w:sz w:val="14"/>
                <w:szCs w:val="14"/>
              </w:rPr>
              <w:t>Tentatives de fraude en nombre de transactions</w:t>
            </w:r>
          </w:p>
        </w:tc>
        <w:tc>
          <w:tcPr>
            <w:tcW w:w="6010" w:type="dxa"/>
          </w:tcPr>
          <w:p w14:paraId="4EF35F48" w14:textId="6E5BF330" w:rsidR="001D6508" w:rsidRPr="00B01C24" w:rsidRDefault="001D6508" w:rsidP="002F6E8F">
            <w:pPr>
              <w:autoSpaceDE w:val="0"/>
              <w:autoSpaceDN w:val="0"/>
              <w:adjustRightInd w:val="0"/>
              <w:jc w:val="both"/>
              <w:rPr>
                <w:rFonts w:ascii="Tahoma" w:hAnsi="Tahoma" w:cs="Tahoma"/>
                <w:sz w:val="14"/>
                <w:szCs w:val="14"/>
              </w:rPr>
            </w:pPr>
            <w:r>
              <w:rPr>
                <w:rFonts w:ascii="Tahoma" w:hAnsi="Tahoma" w:cs="Tahoma"/>
                <w:sz w:val="14"/>
                <w:szCs w:val="14"/>
              </w:rPr>
              <w:t>Renseigner le nombre de tentatives de fraude, y compris celles sans impact financier, subies par l’émetteur au cours de l’année sous revue. Doivent être comptabilisées les opérations fraudées et les tentatives de fraude ayant échouées initiées au cours de l’année sous revue</w:t>
            </w:r>
          </w:p>
        </w:tc>
        <w:tc>
          <w:tcPr>
            <w:tcW w:w="2127" w:type="dxa"/>
          </w:tcPr>
          <w:p w14:paraId="030555DA" w14:textId="6FA47B9F" w:rsidR="001D6508" w:rsidRPr="00BA7475" w:rsidRDefault="001D6508" w:rsidP="003518E6">
            <w:pPr>
              <w:autoSpaceDE w:val="0"/>
              <w:autoSpaceDN w:val="0"/>
              <w:adjustRightInd w:val="0"/>
              <w:jc w:val="both"/>
              <w:rPr>
                <w:rFonts w:ascii="Tahoma" w:hAnsi="Tahoma" w:cs="Tahoma"/>
                <w:sz w:val="14"/>
                <w:szCs w:val="14"/>
              </w:rPr>
            </w:pPr>
            <w:r>
              <w:rPr>
                <w:rFonts w:ascii="Tahoma" w:hAnsi="Tahoma" w:cs="Tahoma"/>
                <w:sz w:val="14"/>
                <w:szCs w:val="14"/>
              </w:rPr>
              <w:t>E</w:t>
            </w:r>
            <w:r w:rsidR="00570C50">
              <w:rPr>
                <w:rFonts w:ascii="Tahoma" w:hAnsi="Tahoma" w:cs="Tahoma"/>
                <w:sz w:val="14"/>
                <w:szCs w:val="14"/>
              </w:rPr>
              <w:t xml:space="preserve"> </w:t>
            </w:r>
            <w:r>
              <w:rPr>
                <w:rFonts w:ascii="Tahoma" w:hAnsi="Tahoma" w:cs="Tahoma"/>
                <w:sz w:val="14"/>
                <w:szCs w:val="14"/>
              </w:rPr>
              <w:t>(5)</w:t>
            </w:r>
          </w:p>
        </w:tc>
      </w:tr>
      <w:tr w:rsidR="001D6508" w:rsidRPr="00BA7475" w14:paraId="0A70589D" w14:textId="77777777" w:rsidTr="00570C50">
        <w:tc>
          <w:tcPr>
            <w:tcW w:w="704" w:type="dxa"/>
          </w:tcPr>
          <w:p w14:paraId="70ABD97A" w14:textId="77777777" w:rsidR="001D6508" w:rsidRPr="00BA7475" w:rsidRDefault="001D6508" w:rsidP="002F6E8F">
            <w:pPr>
              <w:autoSpaceDE w:val="0"/>
              <w:autoSpaceDN w:val="0"/>
              <w:adjustRightInd w:val="0"/>
              <w:jc w:val="both"/>
              <w:rPr>
                <w:rFonts w:ascii="Tahoma" w:hAnsi="Tahoma" w:cs="Tahoma"/>
                <w:sz w:val="14"/>
                <w:szCs w:val="14"/>
              </w:rPr>
            </w:pPr>
            <w:r>
              <w:rPr>
                <w:rFonts w:ascii="Tahoma" w:hAnsi="Tahoma" w:cs="Tahoma"/>
                <w:sz w:val="14"/>
                <w:szCs w:val="14"/>
              </w:rPr>
              <w:t>1</w:t>
            </w:r>
            <w:r w:rsidRPr="00BA7475">
              <w:rPr>
                <w:rFonts w:ascii="Tahoma" w:hAnsi="Tahoma" w:cs="Tahoma"/>
                <w:sz w:val="14"/>
                <w:szCs w:val="14"/>
              </w:rPr>
              <w:t>.2.</w:t>
            </w:r>
          </w:p>
        </w:tc>
        <w:tc>
          <w:tcPr>
            <w:tcW w:w="2920" w:type="dxa"/>
          </w:tcPr>
          <w:p w14:paraId="0BC2FE81" w14:textId="77777777" w:rsidR="001D6508" w:rsidRPr="00BA7475" w:rsidRDefault="001D6508" w:rsidP="002F6E8F">
            <w:pPr>
              <w:autoSpaceDE w:val="0"/>
              <w:autoSpaceDN w:val="0"/>
              <w:adjustRightInd w:val="0"/>
              <w:jc w:val="both"/>
              <w:rPr>
                <w:rFonts w:ascii="Tahoma" w:hAnsi="Tahoma" w:cs="Tahoma"/>
                <w:sz w:val="14"/>
                <w:szCs w:val="14"/>
              </w:rPr>
            </w:pPr>
            <w:r w:rsidRPr="00F57489">
              <w:rPr>
                <w:rFonts w:ascii="Tahoma" w:hAnsi="Tahoma" w:cs="Tahoma"/>
                <w:color w:val="000000"/>
                <w:sz w:val="14"/>
                <w:szCs w:val="14"/>
              </w:rPr>
              <w:t>Tentatives de fraude en montant (en XPF)</w:t>
            </w:r>
          </w:p>
        </w:tc>
        <w:tc>
          <w:tcPr>
            <w:tcW w:w="6010" w:type="dxa"/>
          </w:tcPr>
          <w:p w14:paraId="52AA64F7" w14:textId="77777777" w:rsidR="001D6508" w:rsidRPr="00B01C24" w:rsidRDefault="001D6508" w:rsidP="002F6E8F">
            <w:pPr>
              <w:autoSpaceDE w:val="0"/>
              <w:autoSpaceDN w:val="0"/>
              <w:adjustRightInd w:val="0"/>
              <w:jc w:val="both"/>
              <w:rPr>
                <w:rFonts w:ascii="Tahoma" w:hAnsi="Tahoma" w:cs="Tahoma"/>
                <w:sz w:val="14"/>
                <w:szCs w:val="14"/>
              </w:rPr>
            </w:pPr>
            <w:r>
              <w:rPr>
                <w:rFonts w:ascii="Tahoma" w:hAnsi="Tahoma" w:cs="Tahoma"/>
                <w:sz w:val="14"/>
                <w:szCs w:val="14"/>
              </w:rPr>
              <w:t>Renseigner le montant financier associé au nombre de tentatives de fraude dénombrées à la question précédente subies par l’émetteur</w:t>
            </w:r>
          </w:p>
        </w:tc>
        <w:tc>
          <w:tcPr>
            <w:tcW w:w="2127" w:type="dxa"/>
          </w:tcPr>
          <w:p w14:paraId="365C352A" w14:textId="14278810" w:rsidR="001D6508" w:rsidRPr="00BA7475" w:rsidRDefault="001D6508" w:rsidP="00713FF0">
            <w:pPr>
              <w:autoSpaceDE w:val="0"/>
              <w:autoSpaceDN w:val="0"/>
              <w:adjustRightInd w:val="0"/>
              <w:jc w:val="both"/>
              <w:rPr>
                <w:rFonts w:ascii="Tahoma" w:hAnsi="Tahoma" w:cs="Tahoma"/>
                <w:sz w:val="14"/>
                <w:szCs w:val="14"/>
              </w:rPr>
            </w:pPr>
            <w:r>
              <w:rPr>
                <w:rFonts w:ascii="Tahoma" w:hAnsi="Tahoma" w:cs="Tahoma"/>
                <w:sz w:val="14"/>
                <w:szCs w:val="14"/>
              </w:rPr>
              <w:t>E</w:t>
            </w:r>
            <w:r w:rsidR="00570C50">
              <w:rPr>
                <w:rFonts w:ascii="Tahoma" w:hAnsi="Tahoma" w:cs="Tahoma"/>
                <w:sz w:val="14"/>
                <w:szCs w:val="14"/>
              </w:rPr>
              <w:t xml:space="preserve"> </w:t>
            </w:r>
            <w:r>
              <w:rPr>
                <w:rFonts w:ascii="Tahoma" w:hAnsi="Tahoma" w:cs="Tahoma"/>
                <w:sz w:val="14"/>
                <w:szCs w:val="14"/>
              </w:rPr>
              <w:t>(15)</w:t>
            </w:r>
          </w:p>
        </w:tc>
      </w:tr>
      <w:tr w:rsidR="001D6508" w:rsidRPr="00BA7475" w14:paraId="702734E2" w14:textId="77777777" w:rsidTr="00570C50">
        <w:tc>
          <w:tcPr>
            <w:tcW w:w="704" w:type="dxa"/>
          </w:tcPr>
          <w:p w14:paraId="13043609" w14:textId="77777777" w:rsidR="001D6508" w:rsidRPr="00BA7475" w:rsidRDefault="001D6508" w:rsidP="002F6E8F">
            <w:pPr>
              <w:autoSpaceDE w:val="0"/>
              <w:autoSpaceDN w:val="0"/>
              <w:adjustRightInd w:val="0"/>
              <w:jc w:val="both"/>
              <w:rPr>
                <w:rFonts w:ascii="Tahoma" w:hAnsi="Tahoma" w:cs="Tahoma"/>
                <w:sz w:val="14"/>
                <w:szCs w:val="14"/>
              </w:rPr>
            </w:pPr>
            <w:r>
              <w:rPr>
                <w:rFonts w:ascii="Tahoma" w:hAnsi="Tahoma" w:cs="Tahoma"/>
                <w:sz w:val="14"/>
                <w:szCs w:val="14"/>
              </w:rPr>
              <w:t>1</w:t>
            </w:r>
            <w:r w:rsidRPr="00BA7475">
              <w:rPr>
                <w:rFonts w:ascii="Tahoma" w:hAnsi="Tahoma" w:cs="Tahoma"/>
                <w:sz w:val="14"/>
                <w:szCs w:val="14"/>
              </w:rPr>
              <w:t>.3.</w:t>
            </w:r>
          </w:p>
        </w:tc>
        <w:tc>
          <w:tcPr>
            <w:tcW w:w="2920" w:type="dxa"/>
          </w:tcPr>
          <w:p w14:paraId="2399B72F" w14:textId="3F196489" w:rsidR="001D6508" w:rsidRPr="00BA7475" w:rsidRDefault="001D6508" w:rsidP="004C737E">
            <w:pPr>
              <w:autoSpaceDE w:val="0"/>
              <w:autoSpaceDN w:val="0"/>
              <w:adjustRightInd w:val="0"/>
              <w:jc w:val="both"/>
              <w:rPr>
                <w:rFonts w:ascii="Tahoma" w:hAnsi="Tahoma" w:cs="Tahoma"/>
                <w:color w:val="000000"/>
                <w:sz w:val="14"/>
                <w:szCs w:val="14"/>
              </w:rPr>
            </w:pPr>
            <w:r w:rsidRPr="00F57489">
              <w:rPr>
                <w:rFonts w:ascii="Tahoma" w:hAnsi="Tahoma" w:cs="Tahoma"/>
                <w:color w:val="000000"/>
                <w:sz w:val="14"/>
                <w:szCs w:val="14"/>
              </w:rPr>
              <w:t xml:space="preserve">Fraude </w:t>
            </w:r>
            <w:r w:rsidRPr="004C737E">
              <w:rPr>
                <w:rFonts w:ascii="Tahoma" w:hAnsi="Tahoma" w:cs="Tahoma"/>
                <w:i/>
                <w:color w:val="0070C0"/>
                <w:sz w:val="14"/>
                <w:szCs w:val="14"/>
              </w:rPr>
              <w:t>nette</w:t>
            </w:r>
            <w:r w:rsidRPr="004C737E">
              <w:rPr>
                <w:rFonts w:ascii="Tahoma" w:hAnsi="Tahoma" w:cs="Tahoma"/>
                <w:color w:val="0070C0"/>
                <w:sz w:val="14"/>
                <w:szCs w:val="14"/>
              </w:rPr>
              <w:t xml:space="preserve"> </w:t>
            </w:r>
            <w:r w:rsidRPr="00F57489">
              <w:rPr>
                <w:rFonts w:ascii="Tahoma" w:hAnsi="Tahoma" w:cs="Tahoma"/>
                <w:color w:val="000000"/>
                <w:sz w:val="14"/>
                <w:szCs w:val="14"/>
              </w:rPr>
              <w:t>en nombre de transactions</w:t>
            </w:r>
          </w:p>
        </w:tc>
        <w:tc>
          <w:tcPr>
            <w:tcW w:w="6010" w:type="dxa"/>
          </w:tcPr>
          <w:p w14:paraId="5B155D97" w14:textId="558FC057" w:rsidR="001D6508" w:rsidRPr="00B01C24" w:rsidRDefault="001D6508" w:rsidP="00D46534">
            <w:pPr>
              <w:autoSpaceDE w:val="0"/>
              <w:autoSpaceDN w:val="0"/>
              <w:adjustRightInd w:val="0"/>
              <w:jc w:val="both"/>
              <w:rPr>
                <w:rFonts w:ascii="Tahoma" w:hAnsi="Tahoma" w:cs="Tahoma"/>
                <w:sz w:val="14"/>
                <w:szCs w:val="14"/>
              </w:rPr>
            </w:pPr>
            <w:r>
              <w:rPr>
                <w:rFonts w:ascii="Tahoma" w:hAnsi="Tahoma" w:cs="Tahoma"/>
                <w:sz w:val="14"/>
                <w:szCs w:val="14"/>
              </w:rPr>
              <w:t xml:space="preserve">Renseigner le nombre de fraudes </w:t>
            </w:r>
            <w:r w:rsidRPr="00D46534">
              <w:rPr>
                <w:rFonts w:ascii="Tahoma" w:hAnsi="Tahoma" w:cs="Tahoma"/>
                <w:i/>
                <w:color w:val="0070C0"/>
                <w:sz w:val="14"/>
                <w:szCs w:val="14"/>
              </w:rPr>
              <w:t>nettes</w:t>
            </w:r>
            <w:r w:rsidRPr="00D46534">
              <w:rPr>
                <w:rFonts w:ascii="Tahoma" w:hAnsi="Tahoma" w:cs="Tahoma"/>
                <w:color w:val="0070C0"/>
                <w:sz w:val="14"/>
                <w:szCs w:val="14"/>
              </w:rPr>
              <w:t xml:space="preserve"> </w:t>
            </w:r>
            <w:r>
              <w:rPr>
                <w:rFonts w:ascii="Tahoma" w:hAnsi="Tahoma" w:cs="Tahoma"/>
                <w:sz w:val="14"/>
                <w:szCs w:val="14"/>
              </w:rPr>
              <w:t>supportées par l’émetteur, c’est-à-dire le nombre de fraudes qui n’</w:t>
            </w:r>
            <w:bookmarkStart w:id="19" w:name="_GoBack"/>
            <w:bookmarkEnd w:id="19"/>
            <w:r>
              <w:rPr>
                <w:rFonts w:ascii="Tahoma" w:hAnsi="Tahoma" w:cs="Tahoma"/>
                <w:sz w:val="14"/>
                <w:szCs w:val="14"/>
              </w:rPr>
              <w:t>ont pu être bloquées en dépit du dispositif de maitrise des risques en place</w:t>
            </w:r>
            <w:r w:rsidR="00570C50">
              <w:rPr>
                <w:rFonts w:ascii="Tahoma" w:hAnsi="Tahoma" w:cs="Tahoma"/>
                <w:sz w:val="14"/>
                <w:szCs w:val="14"/>
              </w:rPr>
              <w:t>.</w:t>
            </w:r>
          </w:p>
        </w:tc>
        <w:tc>
          <w:tcPr>
            <w:tcW w:w="2127" w:type="dxa"/>
          </w:tcPr>
          <w:p w14:paraId="687BCAFD" w14:textId="4B9B86AF" w:rsidR="001D6508" w:rsidRPr="00BA7475" w:rsidRDefault="001D6508" w:rsidP="00713FF0">
            <w:pPr>
              <w:autoSpaceDE w:val="0"/>
              <w:autoSpaceDN w:val="0"/>
              <w:adjustRightInd w:val="0"/>
              <w:jc w:val="both"/>
              <w:rPr>
                <w:rFonts w:ascii="Tahoma" w:hAnsi="Tahoma" w:cs="Tahoma"/>
                <w:sz w:val="14"/>
                <w:szCs w:val="14"/>
              </w:rPr>
            </w:pPr>
            <w:r>
              <w:rPr>
                <w:rFonts w:ascii="Tahoma" w:hAnsi="Tahoma" w:cs="Tahoma"/>
                <w:sz w:val="14"/>
                <w:szCs w:val="14"/>
              </w:rPr>
              <w:t>E</w:t>
            </w:r>
            <w:r w:rsidR="00570C50">
              <w:rPr>
                <w:rFonts w:ascii="Tahoma" w:hAnsi="Tahoma" w:cs="Tahoma"/>
                <w:sz w:val="14"/>
                <w:szCs w:val="14"/>
              </w:rPr>
              <w:t xml:space="preserve"> </w:t>
            </w:r>
            <w:r>
              <w:rPr>
                <w:rFonts w:ascii="Tahoma" w:hAnsi="Tahoma" w:cs="Tahoma"/>
                <w:sz w:val="14"/>
                <w:szCs w:val="14"/>
              </w:rPr>
              <w:t>(10)</w:t>
            </w:r>
          </w:p>
        </w:tc>
      </w:tr>
      <w:tr w:rsidR="001D6508" w:rsidRPr="00BA7475" w14:paraId="29715733" w14:textId="77777777" w:rsidTr="00570C50">
        <w:tc>
          <w:tcPr>
            <w:tcW w:w="704" w:type="dxa"/>
          </w:tcPr>
          <w:p w14:paraId="2B24AE4D" w14:textId="77777777" w:rsidR="001D6508" w:rsidRPr="00BA7475" w:rsidRDefault="001D6508" w:rsidP="002F6E8F">
            <w:pPr>
              <w:autoSpaceDE w:val="0"/>
              <w:autoSpaceDN w:val="0"/>
              <w:adjustRightInd w:val="0"/>
              <w:jc w:val="both"/>
              <w:rPr>
                <w:rFonts w:ascii="Tahoma" w:hAnsi="Tahoma" w:cs="Tahoma"/>
                <w:sz w:val="14"/>
                <w:szCs w:val="14"/>
              </w:rPr>
            </w:pPr>
            <w:r>
              <w:rPr>
                <w:rFonts w:ascii="Tahoma" w:hAnsi="Tahoma" w:cs="Tahoma"/>
                <w:sz w:val="14"/>
                <w:szCs w:val="14"/>
              </w:rPr>
              <w:lastRenderedPageBreak/>
              <w:t>1</w:t>
            </w:r>
            <w:r w:rsidRPr="00BA7475">
              <w:rPr>
                <w:rFonts w:ascii="Tahoma" w:hAnsi="Tahoma" w:cs="Tahoma"/>
                <w:sz w:val="14"/>
                <w:szCs w:val="14"/>
              </w:rPr>
              <w:t>.4.</w:t>
            </w:r>
          </w:p>
        </w:tc>
        <w:tc>
          <w:tcPr>
            <w:tcW w:w="2920" w:type="dxa"/>
            <w:vAlign w:val="center"/>
          </w:tcPr>
          <w:p w14:paraId="393F7E8A" w14:textId="182AD98E" w:rsidR="001D6508" w:rsidRPr="00BA7475" w:rsidRDefault="001D6508" w:rsidP="00D46534">
            <w:pPr>
              <w:autoSpaceDE w:val="0"/>
              <w:autoSpaceDN w:val="0"/>
              <w:adjustRightInd w:val="0"/>
              <w:jc w:val="both"/>
              <w:rPr>
                <w:rFonts w:ascii="Tahoma" w:hAnsi="Tahoma" w:cs="Tahoma"/>
                <w:sz w:val="14"/>
                <w:szCs w:val="14"/>
              </w:rPr>
            </w:pPr>
            <w:r w:rsidRPr="00F57489">
              <w:rPr>
                <w:rFonts w:ascii="Tahoma" w:hAnsi="Tahoma" w:cs="Tahoma"/>
                <w:color w:val="000000"/>
                <w:sz w:val="14"/>
                <w:szCs w:val="14"/>
              </w:rPr>
              <w:t xml:space="preserve">Fraude </w:t>
            </w:r>
            <w:r w:rsidRPr="00D46534">
              <w:rPr>
                <w:rFonts w:ascii="Tahoma" w:hAnsi="Tahoma" w:cs="Tahoma"/>
                <w:i/>
                <w:color w:val="0070C0"/>
                <w:sz w:val="14"/>
                <w:szCs w:val="14"/>
              </w:rPr>
              <w:t>nette</w:t>
            </w:r>
            <w:r w:rsidRPr="00D46534">
              <w:rPr>
                <w:rFonts w:ascii="Tahoma" w:hAnsi="Tahoma" w:cs="Tahoma"/>
                <w:color w:val="0070C0"/>
                <w:sz w:val="14"/>
                <w:szCs w:val="14"/>
              </w:rPr>
              <w:t xml:space="preserve"> </w:t>
            </w:r>
            <w:r w:rsidRPr="00F57489">
              <w:rPr>
                <w:rFonts w:ascii="Tahoma" w:hAnsi="Tahoma" w:cs="Tahoma"/>
                <w:color w:val="000000"/>
                <w:sz w:val="14"/>
                <w:szCs w:val="14"/>
              </w:rPr>
              <w:t>en montant (en XPF)</w:t>
            </w:r>
          </w:p>
        </w:tc>
        <w:tc>
          <w:tcPr>
            <w:tcW w:w="6010" w:type="dxa"/>
          </w:tcPr>
          <w:p w14:paraId="53E6414F" w14:textId="06FB3A9D" w:rsidR="001D6508" w:rsidRPr="00B01C24" w:rsidRDefault="001D6508" w:rsidP="00D46534">
            <w:pPr>
              <w:autoSpaceDE w:val="0"/>
              <w:autoSpaceDN w:val="0"/>
              <w:adjustRightInd w:val="0"/>
              <w:jc w:val="both"/>
              <w:rPr>
                <w:rFonts w:ascii="Tahoma" w:hAnsi="Tahoma" w:cs="Tahoma"/>
                <w:sz w:val="14"/>
                <w:szCs w:val="14"/>
              </w:rPr>
            </w:pPr>
            <w:r>
              <w:rPr>
                <w:rFonts w:ascii="Tahoma" w:hAnsi="Tahoma" w:cs="Tahoma"/>
                <w:sz w:val="14"/>
                <w:szCs w:val="14"/>
              </w:rPr>
              <w:t xml:space="preserve">Renseigner le montant des fraudes </w:t>
            </w:r>
            <w:r w:rsidRPr="00D46534">
              <w:rPr>
                <w:rFonts w:ascii="Tahoma" w:hAnsi="Tahoma" w:cs="Tahoma"/>
                <w:i/>
                <w:color w:val="0070C0"/>
                <w:sz w:val="14"/>
                <w:szCs w:val="14"/>
              </w:rPr>
              <w:t>nettes</w:t>
            </w:r>
            <w:r w:rsidRPr="00D46534">
              <w:rPr>
                <w:rFonts w:ascii="Tahoma" w:hAnsi="Tahoma" w:cs="Tahoma"/>
                <w:color w:val="0070C0"/>
                <w:sz w:val="14"/>
                <w:szCs w:val="14"/>
              </w:rPr>
              <w:t xml:space="preserve"> </w:t>
            </w:r>
            <w:r>
              <w:rPr>
                <w:rFonts w:ascii="Tahoma" w:hAnsi="Tahoma" w:cs="Tahoma"/>
                <w:sz w:val="14"/>
                <w:szCs w:val="14"/>
              </w:rPr>
              <w:t xml:space="preserve">supportées par l’émetteur, c’est-à-dire le </w:t>
            </w:r>
            <w:r w:rsidRPr="00D46534">
              <w:rPr>
                <w:rFonts w:ascii="Tahoma" w:hAnsi="Tahoma" w:cs="Tahoma"/>
                <w:i/>
                <w:color w:val="0070C0"/>
                <w:sz w:val="14"/>
                <w:szCs w:val="14"/>
              </w:rPr>
              <w:t>montant</w:t>
            </w:r>
            <w:r w:rsidRPr="00D46534">
              <w:rPr>
                <w:rFonts w:ascii="Tahoma" w:hAnsi="Tahoma" w:cs="Tahoma"/>
                <w:color w:val="0070C0"/>
                <w:sz w:val="14"/>
                <w:szCs w:val="14"/>
              </w:rPr>
              <w:t xml:space="preserve"> </w:t>
            </w:r>
            <w:r>
              <w:rPr>
                <w:rFonts w:ascii="Tahoma" w:hAnsi="Tahoma" w:cs="Tahoma"/>
                <w:sz w:val="14"/>
                <w:szCs w:val="14"/>
              </w:rPr>
              <w:t>de</w:t>
            </w:r>
            <w:r w:rsidR="00876E1F">
              <w:rPr>
                <w:rFonts w:ascii="Tahoma" w:hAnsi="Tahoma" w:cs="Tahoma"/>
                <w:sz w:val="14"/>
                <w:szCs w:val="14"/>
              </w:rPr>
              <w:t>s</w:t>
            </w:r>
            <w:r>
              <w:rPr>
                <w:rFonts w:ascii="Tahoma" w:hAnsi="Tahoma" w:cs="Tahoma"/>
                <w:sz w:val="14"/>
                <w:szCs w:val="14"/>
              </w:rPr>
              <w:t xml:space="preserve"> fraudes qui n’ont pu être bloquées en dépit du dispositif de maitrise des risques en place</w:t>
            </w:r>
            <w:r w:rsidR="00570C50">
              <w:rPr>
                <w:rFonts w:ascii="Tahoma" w:hAnsi="Tahoma" w:cs="Tahoma"/>
                <w:sz w:val="14"/>
                <w:szCs w:val="14"/>
              </w:rPr>
              <w:t>.</w:t>
            </w:r>
          </w:p>
        </w:tc>
        <w:tc>
          <w:tcPr>
            <w:tcW w:w="2127" w:type="dxa"/>
          </w:tcPr>
          <w:p w14:paraId="7A83B2DA" w14:textId="288ABC3F" w:rsidR="001D6508" w:rsidRPr="00BA7475" w:rsidRDefault="001D6508" w:rsidP="002F6E8F">
            <w:pPr>
              <w:autoSpaceDE w:val="0"/>
              <w:autoSpaceDN w:val="0"/>
              <w:adjustRightInd w:val="0"/>
              <w:jc w:val="both"/>
              <w:rPr>
                <w:rFonts w:ascii="Tahoma" w:hAnsi="Tahoma" w:cs="Tahoma"/>
                <w:sz w:val="14"/>
                <w:szCs w:val="14"/>
              </w:rPr>
            </w:pPr>
            <w:r>
              <w:rPr>
                <w:rFonts w:ascii="Tahoma" w:hAnsi="Tahoma" w:cs="Tahoma"/>
                <w:sz w:val="14"/>
                <w:szCs w:val="14"/>
              </w:rPr>
              <w:t>E</w:t>
            </w:r>
            <w:r w:rsidR="00570C50">
              <w:rPr>
                <w:rFonts w:ascii="Tahoma" w:hAnsi="Tahoma" w:cs="Tahoma"/>
                <w:sz w:val="14"/>
                <w:szCs w:val="14"/>
              </w:rPr>
              <w:t xml:space="preserve"> </w:t>
            </w:r>
            <w:r>
              <w:rPr>
                <w:rFonts w:ascii="Tahoma" w:hAnsi="Tahoma" w:cs="Tahoma"/>
                <w:sz w:val="14"/>
                <w:szCs w:val="14"/>
              </w:rPr>
              <w:t>(15)</w:t>
            </w:r>
          </w:p>
        </w:tc>
      </w:tr>
      <w:tr w:rsidR="001D6508" w:rsidRPr="00BA7475" w14:paraId="4C36263A" w14:textId="77777777" w:rsidTr="00570C50">
        <w:tc>
          <w:tcPr>
            <w:tcW w:w="704" w:type="dxa"/>
          </w:tcPr>
          <w:p w14:paraId="7C2AF8B2" w14:textId="77777777" w:rsidR="001D6508" w:rsidRPr="00BA7475" w:rsidRDefault="001D6508" w:rsidP="002F6E8F">
            <w:pPr>
              <w:autoSpaceDE w:val="0"/>
              <w:autoSpaceDN w:val="0"/>
              <w:adjustRightInd w:val="0"/>
              <w:jc w:val="both"/>
              <w:rPr>
                <w:rFonts w:ascii="Tahoma" w:hAnsi="Tahoma" w:cs="Tahoma"/>
                <w:sz w:val="14"/>
                <w:szCs w:val="14"/>
              </w:rPr>
            </w:pPr>
            <w:r>
              <w:rPr>
                <w:rFonts w:ascii="Tahoma" w:hAnsi="Tahoma" w:cs="Tahoma"/>
                <w:sz w:val="14"/>
                <w:szCs w:val="14"/>
              </w:rPr>
              <w:t>1</w:t>
            </w:r>
            <w:r w:rsidRPr="00BA7475">
              <w:rPr>
                <w:rFonts w:ascii="Tahoma" w:hAnsi="Tahoma" w:cs="Tahoma"/>
                <w:sz w:val="14"/>
                <w:szCs w:val="14"/>
              </w:rPr>
              <w:t>.5.</w:t>
            </w:r>
          </w:p>
        </w:tc>
        <w:tc>
          <w:tcPr>
            <w:tcW w:w="2920" w:type="dxa"/>
            <w:vAlign w:val="center"/>
          </w:tcPr>
          <w:p w14:paraId="1793B536" w14:textId="77777777" w:rsidR="001D6508" w:rsidRPr="00BA7475" w:rsidRDefault="001D6508" w:rsidP="002F6E8F">
            <w:pPr>
              <w:autoSpaceDE w:val="0"/>
              <w:autoSpaceDN w:val="0"/>
              <w:adjustRightInd w:val="0"/>
              <w:jc w:val="both"/>
              <w:rPr>
                <w:rFonts w:ascii="Tahoma" w:hAnsi="Tahoma" w:cs="Tahoma"/>
                <w:sz w:val="14"/>
                <w:szCs w:val="14"/>
              </w:rPr>
            </w:pPr>
            <w:r w:rsidRPr="00F57489">
              <w:rPr>
                <w:rFonts w:ascii="Tahoma" w:hAnsi="Tahoma" w:cs="Tahoma"/>
                <w:color w:val="000000"/>
                <w:sz w:val="14"/>
                <w:szCs w:val="14"/>
              </w:rPr>
              <w:t>Description des tentatives et des cas de fraude rencontrés (nature / canal / support…)</w:t>
            </w:r>
          </w:p>
        </w:tc>
        <w:tc>
          <w:tcPr>
            <w:tcW w:w="6010" w:type="dxa"/>
          </w:tcPr>
          <w:p w14:paraId="189B8581" w14:textId="77777777" w:rsidR="001D6508" w:rsidRPr="00B01C24" w:rsidRDefault="001D6508" w:rsidP="002F6E8F">
            <w:pPr>
              <w:autoSpaceDE w:val="0"/>
              <w:autoSpaceDN w:val="0"/>
              <w:adjustRightInd w:val="0"/>
              <w:jc w:val="both"/>
              <w:rPr>
                <w:rFonts w:ascii="Tahoma" w:hAnsi="Tahoma" w:cs="Tahoma"/>
                <w:sz w:val="14"/>
                <w:szCs w:val="14"/>
              </w:rPr>
            </w:pPr>
            <w:r>
              <w:rPr>
                <w:rFonts w:ascii="Tahoma" w:hAnsi="Tahoma" w:cs="Tahoma"/>
                <w:sz w:val="14"/>
                <w:szCs w:val="14"/>
              </w:rPr>
              <w:t>Description synthétique des tentatives et cas de fraude supportés par l’émetteur au cours de l’exercice sous revue.</w:t>
            </w:r>
          </w:p>
        </w:tc>
        <w:tc>
          <w:tcPr>
            <w:tcW w:w="2127" w:type="dxa"/>
          </w:tcPr>
          <w:p w14:paraId="1416DD58" w14:textId="219912BF" w:rsidR="001D6508" w:rsidRPr="00BA7475" w:rsidRDefault="001D6508" w:rsidP="002F6E8F">
            <w:pPr>
              <w:autoSpaceDE w:val="0"/>
              <w:autoSpaceDN w:val="0"/>
              <w:adjustRightInd w:val="0"/>
              <w:jc w:val="both"/>
              <w:rPr>
                <w:rFonts w:ascii="Tahoma" w:hAnsi="Tahoma" w:cs="Tahoma"/>
                <w:sz w:val="14"/>
                <w:szCs w:val="14"/>
              </w:rPr>
            </w:pPr>
            <w:r>
              <w:rPr>
                <w:rFonts w:ascii="Tahoma" w:hAnsi="Tahoma" w:cs="Tahoma"/>
                <w:sz w:val="14"/>
                <w:szCs w:val="14"/>
              </w:rPr>
              <w:t>AN [500 ; 2</w:t>
            </w:r>
            <w:r w:rsidR="00570C50">
              <w:rPr>
                <w:rFonts w:ascii="Tahoma" w:hAnsi="Tahoma" w:cs="Tahoma"/>
                <w:sz w:val="14"/>
                <w:szCs w:val="14"/>
              </w:rPr>
              <w:t>.</w:t>
            </w:r>
            <w:r>
              <w:rPr>
                <w:rFonts w:ascii="Tahoma" w:hAnsi="Tahoma" w:cs="Tahoma"/>
                <w:sz w:val="14"/>
                <w:szCs w:val="14"/>
              </w:rPr>
              <w:t>000]</w:t>
            </w:r>
          </w:p>
        </w:tc>
      </w:tr>
      <w:tr w:rsidR="001D6508" w:rsidRPr="00BA7475" w14:paraId="28B9B2A3" w14:textId="77777777" w:rsidTr="00570C50">
        <w:trPr>
          <w:trHeight w:val="395"/>
        </w:trPr>
        <w:tc>
          <w:tcPr>
            <w:tcW w:w="704" w:type="dxa"/>
          </w:tcPr>
          <w:p w14:paraId="54654DD2" w14:textId="77777777" w:rsidR="001D6508" w:rsidRPr="00BA7475" w:rsidRDefault="001D6508" w:rsidP="002F6E8F">
            <w:pPr>
              <w:autoSpaceDE w:val="0"/>
              <w:autoSpaceDN w:val="0"/>
              <w:adjustRightInd w:val="0"/>
              <w:jc w:val="both"/>
              <w:rPr>
                <w:rFonts w:ascii="Tahoma" w:hAnsi="Tahoma" w:cs="Tahoma"/>
                <w:sz w:val="14"/>
                <w:szCs w:val="14"/>
              </w:rPr>
            </w:pPr>
            <w:r>
              <w:rPr>
                <w:rFonts w:ascii="Tahoma" w:hAnsi="Tahoma" w:cs="Tahoma"/>
                <w:sz w:val="14"/>
                <w:szCs w:val="14"/>
              </w:rPr>
              <w:t>1</w:t>
            </w:r>
            <w:r w:rsidRPr="00BA7475">
              <w:rPr>
                <w:rFonts w:ascii="Tahoma" w:hAnsi="Tahoma" w:cs="Tahoma"/>
                <w:sz w:val="14"/>
                <w:szCs w:val="14"/>
              </w:rPr>
              <w:t>.6.</w:t>
            </w:r>
          </w:p>
        </w:tc>
        <w:tc>
          <w:tcPr>
            <w:tcW w:w="2920" w:type="dxa"/>
          </w:tcPr>
          <w:p w14:paraId="4D674775" w14:textId="77777777" w:rsidR="001D6508" w:rsidRPr="00BA7475" w:rsidRDefault="001D6508" w:rsidP="002F6E8F">
            <w:pPr>
              <w:autoSpaceDE w:val="0"/>
              <w:autoSpaceDN w:val="0"/>
              <w:adjustRightInd w:val="0"/>
              <w:jc w:val="both"/>
              <w:rPr>
                <w:rFonts w:ascii="Tahoma" w:hAnsi="Tahoma" w:cs="Tahoma"/>
                <w:sz w:val="14"/>
                <w:szCs w:val="14"/>
              </w:rPr>
            </w:pPr>
            <w:r w:rsidRPr="00F57489">
              <w:rPr>
                <w:rFonts w:ascii="Tahoma" w:hAnsi="Tahoma" w:cs="Tahoma"/>
                <w:color w:val="000000"/>
                <w:sz w:val="14"/>
                <w:szCs w:val="14"/>
              </w:rPr>
              <w:t>Nombre de supports/titres mis en opposition</w:t>
            </w:r>
          </w:p>
        </w:tc>
        <w:tc>
          <w:tcPr>
            <w:tcW w:w="6010" w:type="dxa"/>
          </w:tcPr>
          <w:p w14:paraId="0E2D2900" w14:textId="77777777" w:rsidR="001D6508" w:rsidRPr="00B01C24" w:rsidRDefault="001D6508" w:rsidP="002F6E8F">
            <w:pPr>
              <w:autoSpaceDE w:val="0"/>
              <w:autoSpaceDN w:val="0"/>
              <w:adjustRightInd w:val="0"/>
              <w:jc w:val="both"/>
              <w:rPr>
                <w:rFonts w:ascii="Tahoma" w:hAnsi="Tahoma" w:cs="Tahoma"/>
                <w:sz w:val="14"/>
                <w:szCs w:val="14"/>
              </w:rPr>
            </w:pPr>
            <w:r>
              <w:rPr>
                <w:rFonts w:ascii="Tahoma" w:hAnsi="Tahoma" w:cs="Tahoma"/>
                <w:sz w:val="14"/>
                <w:szCs w:val="14"/>
              </w:rPr>
              <w:t>Nombre de supports et / ou titres mis en opposition au cours de l’année sous revue.</w:t>
            </w:r>
          </w:p>
        </w:tc>
        <w:tc>
          <w:tcPr>
            <w:tcW w:w="2127" w:type="dxa"/>
          </w:tcPr>
          <w:p w14:paraId="627B214F" w14:textId="0929BF35" w:rsidR="001D6508" w:rsidRPr="00BA7475" w:rsidRDefault="001D6508" w:rsidP="002F6E8F">
            <w:pPr>
              <w:autoSpaceDE w:val="0"/>
              <w:autoSpaceDN w:val="0"/>
              <w:adjustRightInd w:val="0"/>
              <w:jc w:val="both"/>
              <w:rPr>
                <w:rFonts w:ascii="Tahoma" w:hAnsi="Tahoma" w:cs="Tahoma"/>
                <w:sz w:val="14"/>
                <w:szCs w:val="14"/>
              </w:rPr>
            </w:pPr>
            <w:r>
              <w:rPr>
                <w:rFonts w:ascii="Tahoma" w:hAnsi="Tahoma" w:cs="Tahoma"/>
                <w:sz w:val="14"/>
                <w:szCs w:val="14"/>
              </w:rPr>
              <w:t>AN [500 ; 2</w:t>
            </w:r>
            <w:r w:rsidR="00570C50">
              <w:rPr>
                <w:rFonts w:ascii="Tahoma" w:hAnsi="Tahoma" w:cs="Tahoma"/>
                <w:sz w:val="14"/>
                <w:szCs w:val="14"/>
              </w:rPr>
              <w:t>.</w:t>
            </w:r>
            <w:r>
              <w:rPr>
                <w:rFonts w:ascii="Tahoma" w:hAnsi="Tahoma" w:cs="Tahoma"/>
                <w:sz w:val="14"/>
                <w:szCs w:val="14"/>
              </w:rPr>
              <w:t>000]</w:t>
            </w:r>
          </w:p>
        </w:tc>
      </w:tr>
    </w:tbl>
    <w:p w14:paraId="3EC14EAD" w14:textId="77777777" w:rsidR="00CB6F9F" w:rsidRDefault="00CB6F9F" w:rsidP="00CB6F9F">
      <w:pPr>
        <w:spacing w:before="0" w:beforeAutospacing="0" w:after="0" w:afterAutospacing="0"/>
        <w:rPr>
          <w:sz w:val="20"/>
        </w:rPr>
      </w:pPr>
    </w:p>
    <w:p w14:paraId="5B113167" w14:textId="0870EF99" w:rsidR="00CB6F9F" w:rsidRPr="00232940" w:rsidRDefault="00CB6F9F" w:rsidP="00CB6F9F">
      <w:pPr>
        <w:spacing w:before="0" w:beforeAutospacing="0" w:after="0" w:afterAutospacing="0"/>
        <w:rPr>
          <w:szCs w:val="18"/>
        </w:rPr>
      </w:pPr>
      <w:r w:rsidRPr="00232940">
        <w:rPr>
          <w:szCs w:val="18"/>
        </w:rPr>
        <w:t>E</w:t>
      </w:r>
      <w:r w:rsidR="00570C50">
        <w:rPr>
          <w:szCs w:val="18"/>
        </w:rPr>
        <w:t xml:space="preserve"> </w:t>
      </w:r>
      <w:r w:rsidRPr="00232940">
        <w:rPr>
          <w:szCs w:val="18"/>
        </w:rPr>
        <w:t>(X) : nombre entier d’un nombre de caractères inférieur ou égal à X.</w:t>
      </w:r>
    </w:p>
    <w:p w14:paraId="124DFB52" w14:textId="3B56B9FC" w:rsidR="00CB6F9F" w:rsidRPr="00232940" w:rsidRDefault="00CB6F9F" w:rsidP="00CB6F9F">
      <w:pPr>
        <w:spacing w:before="0" w:beforeAutospacing="0" w:after="0" w:afterAutospacing="0"/>
        <w:rPr>
          <w:szCs w:val="18"/>
        </w:rPr>
      </w:pPr>
      <w:r w:rsidRPr="00232940">
        <w:rPr>
          <w:szCs w:val="18"/>
        </w:rPr>
        <w:t>AN (500-2</w:t>
      </w:r>
      <w:r w:rsidR="00570C50">
        <w:rPr>
          <w:szCs w:val="18"/>
        </w:rPr>
        <w:t>.</w:t>
      </w:r>
      <w:r w:rsidRPr="00232940">
        <w:rPr>
          <w:szCs w:val="18"/>
        </w:rPr>
        <w:t>000) : Texte en caractères alpha numériques d’une longueur comprise entre 500 et 2</w:t>
      </w:r>
      <w:r w:rsidR="00570C50">
        <w:rPr>
          <w:szCs w:val="18"/>
        </w:rPr>
        <w:t>.</w:t>
      </w:r>
      <w:r w:rsidRPr="00232940">
        <w:rPr>
          <w:szCs w:val="18"/>
        </w:rPr>
        <w:t>000 caractères.</w:t>
      </w:r>
    </w:p>
    <w:p w14:paraId="158D7C92" w14:textId="6E6BB329" w:rsidR="000B5F02" w:rsidRDefault="000B5F02" w:rsidP="000B5F02">
      <w:pPr>
        <w:pStyle w:val="Titre3"/>
        <w:numPr>
          <w:ilvl w:val="2"/>
          <w:numId w:val="18"/>
        </w:numPr>
      </w:pPr>
      <w:bookmarkStart w:id="20" w:name="_Toc158133142"/>
      <w:r w:rsidRPr="000B5F02">
        <w:t>Onglet</w:t>
      </w:r>
      <w:r>
        <w:t xml:space="preserve"> « Evolution sécurité »</w:t>
      </w:r>
      <w:bookmarkEnd w:id="20"/>
    </w:p>
    <w:p w14:paraId="26D32E29" w14:textId="61C0F7D3" w:rsidR="002F6E8F" w:rsidRPr="002F6E8F" w:rsidRDefault="002F6E8F" w:rsidP="002F6E8F">
      <w:pPr>
        <w:spacing w:before="0" w:beforeAutospacing="0" w:after="0" w:afterAutospacing="0"/>
        <w:jc w:val="both"/>
        <w:rPr>
          <w:rFonts w:cs="Arial"/>
          <w:bCs/>
          <w:sz w:val="20"/>
        </w:rPr>
      </w:pPr>
      <w:r w:rsidRPr="002F6E8F">
        <w:rPr>
          <w:rFonts w:cs="Arial"/>
          <w:bCs/>
          <w:sz w:val="20"/>
        </w:rPr>
        <w:t xml:space="preserve">Les informations rapportées dans la colonne « Définition » précisent les attendus de l’IEOM en termes de renseignement des différentes cellules du tableau </w:t>
      </w:r>
      <w:r w:rsidR="00ED21AB">
        <w:rPr>
          <w:rFonts w:cs="Arial"/>
          <w:bCs/>
          <w:sz w:val="20"/>
        </w:rPr>
        <w:t xml:space="preserve">de l’onglet </w:t>
      </w:r>
      <w:r w:rsidRPr="002F6E8F">
        <w:rPr>
          <w:rFonts w:cs="Arial"/>
          <w:bCs/>
          <w:sz w:val="20"/>
        </w:rPr>
        <w:t>« Evolution sécurité ».</w:t>
      </w:r>
    </w:p>
    <w:p w14:paraId="639ADE60" w14:textId="77777777" w:rsidR="002F6E8F" w:rsidRPr="002F6E8F" w:rsidRDefault="002F6E8F" w:rsidP="002F6E8F">
      <w:pPr>
        <w:spacing w:before="0" w:beforeAutospacing="0" w:after="0" w:afterAutospacing="0"/>
        <w:jc w:val="both"/>
        <w:rPr>
          <w:rFonts w:cs="Arial"/>
          <w:bCs/>
          <w:sz w:val="20"/>
        </w:rPr>
      </w:pPr>
    </w:p>
    <w:p w14:paraId="32E8EA5C" w14:textId="79127B47" w:rsidR="00C26BA3" w:rsidRDefault="00C26BA3" w:rsidP="002F6E8F">
      <w:pPr>
        <w:autoSpaceDE w:val="0"/>
        <w:autoSpaceDN w:val="0"/>
        <w:adjustRightInd w:val="0"/>
        <w:spacing w:before="0" w:beforeAutospacing="0" w:after="0" w:afterAutospacing="0"/>
        <w:jc w:val="both"/>
        <w:rPr>
          <w:rFonts w:cs="Arial"/>
          <w:sz w:val="20"/>
        </w:rPr>
      </w:pPr>
      <w:r w:rsidRPr="002F6E8F">
        <w:rPr>
          <w:rFonts w:cs="Arial"/>
          <w:sz w:val="20"/>
        </w:rPr>
        <w:t xml:space="preserve">En tant que de besoin, l’examen de la situation de l’émetteur par rapport aux critères constitutifs des considérations clés de l’autoévaluation de la sécurité (cf. point </w:t>
      </w:r>
      <w:r w:rsidRPr="00B80CC7">
        <w:rPr>
          <w:rFonts w:cs="Arial"/>
          <w:sz w:val="20"/>
        </w:rPr>
        <w:t>2.2.) constitue un guide utile pour la rédaction des commentaires synthétiques</w:t>
      </w:r>
      <w:r w:rsidR="00CB6F9F" w:rsidRPr="00B80CC7">
        <w:rPr>
          <w:rFonts w:cs="Arial"/>
          <w:sz w:val="20"/>
        </w:rPr>
        <w:t xml:space="preserve"> afférents à l’évolution du dispositif de sécurité sur les 11 thèmes abordés.</w:t>
      </w:r>
    </w:p>
    <w:p w14:paraId="55105A30" w14:textId="77777777" w:rsidR="00B80CC7" w:rsidRPr="002F6E8F" w:rsidRDefault="00B80CC7" w:rsidP="002F6E8F">
      <w:pPr>
        <w:autoSpaceDE w:val="0"/>
        <w:autoSpaceDN w:val="0"/>
        <w:adjustRightInd w:val="0"/>
        <w:spacing w:before="0" w:beforeAutospacing="0" w:after="0" w:afterAutospacing="0"/>
        <w:jc w:val="both"/>
        <w:rPr>
          <w:rFonts w:cs="Arial"/>
          <w:sz w:val="20"/>
        </w:rPr>
      </w:pPr>
    </w:p>
    <w:tbl>
      <w:tblPr>
        <w:tblStyle w:val="Grilledutableau"/>
        <w:tblW w:w="0" w:type="auto"/>
        <w:tblLook w:val="04A0" w:firstRow="1" w:lastRow="0" w:firstColumn="1" w:lastColumn="0" w:noHBand="0" w:noVBand="1"/>
      </w:tblPr>
      <w:tblGrid>
        <w:gridCol w:w="736"/>
        <w:gridCol w:w="2920"/>
        <w:gridCol w:w="5978"/>
        <w:gridCol w:w="2127"/>
      </w:tblGrid>
      <w:tr w:rsidR="001D6508" w:rsidRPr="00B80CC7" w14:paraId="2F7B1A37" w14:textId="77777777" w:rsidTr="00570C50">
        <w:tc>
          <w:tcPr>
            <w:tcW w:w="736" w:type="dxa"/>
          </w:tcPr>
          <w:p w14:paraId="11330BD2" w14:textId="77777777" w:rsidR="001D6508" w:rsidRPr="00B80CC7" w:rsidRDefault="001D6508" w:rsidP="00570C50">
            <w:pPr>
              <w:autoSpaceDE w:val="0"/>
              <w:autoSpaceDN w:val="0"/>
              <w:adjustRightInd w:val="0"/>
              <w:rPr>
                <w:rFonts w:ascii="Tahoma" w:hAnsi="Tahoma" w:cs="Tahoma"/>
                <w:i/>
                <w:color w:val="0070C0"/>
                <w:sz w:val="14"/>
                <w:szCs w:val="14"/>
              </w:rPr>
            </w:pPr>
            <w:r w:rsidRPr="00B80CC7">
              <w:rPr>
                <w:rFonts w:ascii="Tahoma" w:hAnsi="Tahoma" w:cs="Tahoma"/>
                <w:i/>
                <w:color w:val="0070C0"/>
                <w:sz w:val="14"/>
                <w:szCs w:val="14"/>
              </w:rPr>
              <w:t>N° ligne</w:t>
            </w:r>
          </w:p>
        </w:tc>
        <w:tc>
          <w:tcPr>
            <w:tcW w:w="2920" w:type="dxa"/>
          </w:tcPr>
          <w:p w14:paraId="6E593EFE" w14:textId="77777777" w:rsidR="001D6508" w:rsidRPr="00B80CC7" w:rsidRDefault="001D6508" w:rsidP="001D6508">
            <w:pPr>
              <w:autoSpaceDE w:val="0"/>
              <w:autoSpaceDN w:val="0"/>
              <w:adjustRightInd w:val="0"/>
              <w:ind w:left="205"/>
              <w:jc w:val="center"/>
              <w:rPr>
                <w:rFonts w:ascii="Tahoma" w:hAnsi="Tahoma" w:cs="Tahoma"/>
                <w:i/>
                <w:color w:val="0070C0"/>
                <w:sz w:val="14"/>
                <w:szCs w:val="14"/>
              </w:rPr>
            </w:pPr>
            <w:r w:rsidRPr="00B80CC7">
              <w:rPr>
                <w:rFonts w:ascii="Tahoma" w:hAnsi="Tahoma" w:cs="Tahoma"/>
                <w:i/>
                <w:color w:val="0070C0"/>
                <w:sz w:val="14"/>
                <w:szCs w:val="14"/>
              </w:rPr>
              <w:t>Intitulé</w:t>
            </w:r>
          </w:p>
        </w:tc>
        <w:tc>
          <w:tcPr>
            <w:tcW w:w="5978" w:type="dxa"/>
          </w:tcPr>
          <w:p w14:paraId="70D28FF4" w14:textId="77777777" w:rsidR="001D6508" w:rsidRPr="00B80CC7" w:rsidRDefault="001D6508" w:rsidP="001D6508">
            <w:pPr>
              <w:autoSpaceDE w:val="0"/>
              <w:autoSpaceDN w:val="0"/>
              <w:adjustRightInd w:val="0"/>
              <w:ind w:left="205"/>
              <w:jc w:val="center"/>
              <w:rPr>
                <w:rFonts w:ascii="Tahoma" w:hAnsi="Tahoma" w:cs="Tahoma"/>
                <w:i/>
                <w:color w:val="0070C0"/>
                <w:sz w:val="14"/>
                <w:szCs w:val="14"/>
              </w:rPr>
            </w:pPr>
            <w:r w:rsidRPr="00B80CC7">
              <w:rPr>
                <w:rFonts w:ascii="Tahoma" w:hAnsi="Tahoma" w:cs="Tahoma"/>
                <w:i/>
                <w:color w:val="0070C0"/>
                <w:sz w:val="14"/>
                <w:szCs w:val="14"/>
              </w:rPr>
              <w:t>Définition</w:t>
            </w:r>
          </w:p>
        </w:tc>
        <w:tc>
          <w:tcPr>
            <w:tcW w:w="2127" w:type="dxa"/>
          </w:tcPr>
          <w:p w14:paraId="115CC841" w14:textId="77777777" w:rsidR="001D6508" w:rsidRPr="00B80CC7" w:rsidRDefault="001D6508" w:rsidP="001D6508">
            <w:pPr>
              <w:autoSpaceDE w:val="0"/>
              <w:autoSpaceDN w:val="0"/>
              <w:adjustRightInd w:val="0"/>
              <w:ind w:left="205"/>
              <w:jc w:val="center"/>
              <w:rPr>
                <w:rFonts w:ascii="Tahoma" w:hAnsi="Tahoma" w:cs="Tahoma"/>
                <w:i/>
                <w:color w:val="0070C0"/>
                <w:sz w:val="14"/>
                <w:szCs w:val="14"/>
              </w:rPr>
            </w:pPr>
            <w:r w:rsidRPr="00B80CC7">
              <w:rPr>
                <w:rFonts w:ascii="Tahoma" w:hAnsi="Tahoma" w:cs="Tahoma"/>
                <w:i/>
                <w:color w:val="0070C0"/>
                <w:sz w:val="14"/>
                <w:szCs w:val="14"/>
              </w:rPr>
              <w:t>Format des champs</w:t>
            </w:r>
          </w:p>
        </w:tc>
      </w:tr>
      <w:tr w:rsidR="001D6508" w:rsidRPr="00BA7475" w14:paraId="23070BAE" w14:textId="77777777" w:rsidTr="00570C50">
        <w:tc>
          <w:tcPr>
            <w:tcW w:w="736" w:type="dxa"/>
          </w:tcPr>
          <w:p w14:paraId="318B1468" w14:textId="77777777" w:rsidR="001D6508" w:rsidRPr="00BA7475" w:rsidRDefault="001D6508" w:rsidP="001D6508">
            <w:pPr>
              <w:autoSpaceDE w:val="0"/>
              <w:autoSpaceDN w:val="0"/>
              <w:adjustRightInd w:val="0"/>
              <w:ind w:left="205"/>
              <w:jc w:val="both"/>
              <w:rPr>
                <w:rFonts w:ascii="Tahoma" w:hAnsi="Tahoma" w:cs="Tahoma"/>
                <w:sz w:val="14"/>
                <w:szCs w:val="14"/>
              </w:rPr>
            </w:pPr>
          </w:p>
        </w:tc>
        <w:tc>
          <w:tcPr>
            <w:tcW w:w="2920" w:type="dxa"/>
          </w:tcPr>
          <w:p w14:paraId="3F9A9A12" w14:textId="77777777" w:rsidR="001D6508" w:rsidRPr="00BA7475" w:rsidRDefault="001D6508" w:rsidP="001D6508">
            <w:pPr>
              <w:autoSpaceDE w:val="0"/>
              <w:autoSpaceDN w:val="0"/>
              <w:adjustRightInd w:val="0"/>
              <w:ind w:left="205"/>
              <w:jc w:val="both"/>
              <w:rPr>
                <w:rFonts w:ascii="Tahoma" w:hAnsi="Tahoma" w:cs="Tahoma"/>
                <w:sz w:val="14"/>
                <w:szCs w:val="14"/>
              </w:rPr>
            </w:pPr>
            <w:r w:rsidRPr="00BA7475">
              <w:rPr>
                <w:rFonts w:ascii="Tahoma" w:hAnsi="Tahoma" w:cs="Tahoma"/>
                <w:sz w:val="14"/>
                <w:szCs w:val="14"/>
              </w:rPr>
              <w:t>Nom commercial du titre</w:t>
            </w:r>
          </w:p>
        </w:tc>
        <w:tc>
          <w:tcPr>
            <w:tcW w:w="5978" w:type="dxa"/>
          </w:tcPr>
          <w:p w14:paraId="29157889" w14:textId="77777777" w:rsidR="001D6508" w:rsidRPr="00BA7475" w:rsidRDefault="001D6508" w:rsidP="001D6508">
            <w:pPr>
              <w:autoSpaceDE w:val="0"/>
              <w:autoSpaceDN w:val="0"/>
              <w:adjustRightInd w:val="0"/>
              <w:ind w:left="205"/>
              <w:jc w:val="both"/>
              <w:rPr>
                <w:rFonts w:ascii="Tahoma" w:hAnsi="Tahoma" w:cs="Tahoma"/>
                <w:sz w:val="14"/>
                <w:szCs w:val="14"/>
              </w:rPr>
            </w:pPr>
          </w:p>
        </w:tc>
        <w:tc>
          <w:tcPr>
            <w:tcW w:w="2127" w:type="dxa"/>
          </w:tcPr>
          <w:p w14:paraId="0BED2091" w14:textId="77777777" w:rsidR="001D6508" w:rsidRPr="00BA747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AN (50)</w:t>
            </w:r>
          </w:p>
        </w:tc>
      </w:tr>
      <w:tr w:rsidR="001D6508" w:rsidRPr="00BA7475" w14:paraId="639954F5" w14:textId="77777777" w:rsidTr="00570C50">
        <w:tc>
          <w:tcPr>
            <w:tcW w:w="736" w:type="dxa"/>
          </w:tcPr>
          <w:p w14:paraId="6057E41B" w14:textId="77777777" w:rsidR="001D6508" w:rsidRPr="00BA7475" w:rsidRDefault="001D6508" w:rsidP="001D6508">
            <w:pPr>
              <w:autoSpaceDE w:val="0"/>
              <w:autoSpaceDN w:val="0"/>
              <w:adjustRightInd w:val="0"/>
              <w:ind w:left="205"/>
              <w:jc w:val="both"/>
              <w:rPr>
                <w:rFonts w:ascii="Tahoma" w:hAnsi="Tahoma" w:cs="Tahoma"/>
                <w:sz w:val="14"/>
                <w:szCs w:val="14"/>
              </w:rPr>
            </w:pPr>
          </w:p>
        </w:tc>
        <w:tc>
          <w:tcPr>
            <w:tcW w:w="2920" w:type="dxa"/>
            <w:vAlign w:val="center"/>
          </w:tcPr>
          <w:p w14:paraId="26D6CE1B" w14:textId="77777777" w:rsidR="001D6508" w:rsidRPr="00BA7475" w:rsidRDefault="001D6508" w:rsidP="001D6508">
            <w:pPr>
              <w:autoSpaceDE w:val="0"/>
              <w:autoSpaceDN w:val="0"/>
              <w:adjustRightInd w:val="0"/>
              <w:ind w:left="205"/>
              <w:jc w:val="both"/>
              <w:rPr>
                <w:rFonts w:ascii="Tahoma" w:hAnsi="Tahoma" w:cs="Tahoma"/>
                <w:sz w:val="14"/>
                <w:szCs w:val="14"/>
              </w:rPr>
            </w:pPr>
            <w:r w:rsidRPr="00BA7475">
              <w:rPr>
                <w:rFonts w:ascii="Tahoma" w:hAnsi="Tahoma" w:cs="Tahoma"/>
                <w:color w:val="000000"/>
                <w:sz w:val="14"/>
                <w:szCs w:val="14"/>
              </w:rPr>
              <w:t>Nature juridique (TSPD, IPS, CESU)</w:t>
            </w:r>
          </w:p>
        </w:tc>
        <w:tc>
          <w:tcPr>
            <w:tcW w:w="5978" w:type="dxa"/>
          </w:tcPr>
          <w:p w14:paraId="19ADA3AC" w14:textId="17E21636" w:rsidR="001D6508" w:rsidRPr="001D6508" w:rsidRDefault="001D6508" w:rsidP="001D6508">
            <w:pPr>
              <w:autoSpaceDE w:val="0"/>
              <w:autoSpaceDN w:val="0"/>
              <w:adjustRightInd w:val="0"/>
              <w:ind w:left="205"/>
              <w:jc w:val="both"/>
              <w:rPr>
                <w:rFonts w:ascii="Tahoma" w:hAnsi="Tahoma" w:cs="Tahoma"/>
                <w:i/>
                <w:sz w:val="14"/>
                <w:szCs w:val="14"/>
              </w:rPr>
            </w:pPr>
            <w:r w:rsidRPr="001D6508">
              <w:rPr>
                <w:rFonts w:ascii="Tahoma" w:hAnsi="Tahoma" w:cs="Tahoma"/>
                <w:i/>
                <w:color w:val="0070C0"/>
                <w:sz w:val="14"/>
                <w:szCs w:val="14"/>
              </w:rPr>
              <w:t>Préciser la nature juridique de l’instrument : TSPD, IPS ou CESU</w:t>
            </w:r>
          </w:p>
        </w:tc>
        <w:tc>
          <w:tcPr>
            <w:tcW w:w="2127" w:type="dxa"/>
          </w:tcPr>
          <w:p w14:paraId="299C1333" w14:textId="3D53790E" w:rsidR="001D6508" w:rsidRPr="00BA7475" w:rsidRDefault="001D6508" w:rsidP="001D6508">
            <w:pPr>
              <w:autoSpaceDE w:val="0"/>
              <w:autoSpaceDN w:val="0"/>
              <w:adjustRightInd w:val="0"/>
              <w:ind w:left="205"/>
              <w:jc w:val="both"/>
              <w:rPr>
                <w:rFonts w:ascii="Tahoma" w:hAnsi="Tahoma" w:cs="Tahoma"/>
                <w:sz w:val="14"/>
                <w:szCs w:val="14"/>
              </w:rPr>
            </w:pPr>
          </w:p>
        </w:tc>
      </w:tr>
      <w:tr w:rsidR="001D6508" w:rsidRPr="00BA7475" w14:paraId="4F3FEC99" w14:textId="77777777" w:rsidTr="00570C50">
        <w:tc>
          <w:tcPr>
            <w:tcW w:w="736" w:type="dxa"/>
          </w:tcPr>
          <w:p w14:paraId="0C5D1525" w14:textId="77777777" w:rsidR="001D6508" w:rsidRPr="00BA7475" w:rsidRDefault="001D6508" w:rsidP="001D6508">
            <w:pPr>
              <w:autoSpaceDE w:val="0"/>
              <w:autoSpaceDN w:val="0"/>
              <w:adjustRightInd w:val="0"/>
              <w:ind w:left="205"/>
              <w:jc w:val="both"/>
              <w:rPr>
                <w:rFonts w:ascii="Tahoma" w:hAnsi="Tahoma" w:cs="Tahoma"/>
                <w:sz w:val="14"/>
                <w:szCs w:val="14"/>
              </w:rPr>
            </w:pPr>
          </w:p>
        </w:tc>
        <w:tc>
          <w:tcPr>
            <w:tcW w:w="2920" w:type="dxa"/>
          </w:tcPr>
          <w:p w14:paraId="6A00F39F" w14:textId="77777777" w:rsidR="001D6508" w:rsidRPr="00BA7475" w:rsidRDefault="001D6508" w:rsidP="001D6508">
            <w:pPr>
              <w:autoSpaceDE w:val="0"/>
              <w:autoSpaceDN w:val="0"/>
              <w:adjustRightInd w:val="0"/>
              <w:ind w:left="205"/>
              <w:jc w:val="both"/>
              <w:rPr>
                <w:rFonts w:ascii="Tahoma" w:hAnsi="Tahoma" w:cs="Tahoma"/>
                <w:sz w:val="14"/>
                <w:szCs w:val="14"/>
              </w:rPr>
            </w:pPr>
            <w:r w:rsidRPr="00BA7475">
              <w:rPr>
                <w:rFonts w:ascii="Tahoma" w:hAnsi="Tahoma" w:cs="Tahoma"/>
                <w:color w:val="000000"/>
                <w:sz w:val="14"/>
                <w:szCs w:val="14"/>
              </w:rPr>
              <w:t>Format (Digital ou papier)</w:t>
            </w:r>
          </w:p>
        </w:tc>
        <w:tc>
          <w:tcPr>
            <w:tcW w:w="5978" w:type="dxa"/>
          </w:tcPr>
          <w:p w14:paraId="418F0A08" w14:textId="50AA7626" w:rsidR="001D6508" w:rsidRPr="001D6508" w:rsidRDefault="001D6508" w:rsidP="001D6508">
            <w:pPr>
              <w:autoSpaceDE w:val="0"/>
              <w:autoSpaceDN w:val="0"/>
              <w:adjustRightInd w:val="0"/>
              <w:ind w:left="205"/>
              <w:jc w:val="both"/>
              <w:rPr>
                <w:rFonts w:ascii="Tahoma" w:hAnsi="Tahoma" w:cs="Tahoma"/>
                <w:i/>
                <w:sz w:val="14"/>
                <w:szCs w:val="14"/>
              </w:rPr>
            </w:pPr>
            <w:r w:rsidRPr="001D6508">
              <w:rPr>
                <w:rFonts w:ascii="Tahoma" w:hAnsi="Tahoma" w:cs="Tahoma"/>
                <w:i/>
                <w:color w:val="0070C0"/>
                <w:sz w:val="14"/>
                <w:szCs w:val="14"/>
              </w:rPr>
              <w:t>Préciser le format de l’instrument : digital ou papier</w:t>
            </w:r>
          </w:p>
        </w:tc>
        <w:tc>
          <w:tcPr>
            <w:tcW w:w="2127" w:type="dxa"/>
          </w:tcPr>
          <w:p w14:paraId="0D389885" w14:textId="3683630D" w:rsidR="001D6508" w:rsidRPr="00BA7475" w:rsidRDefault="001D6508" w:rsidP="001D6508">
            <w:pPr>
              <w:autoSpaceDE w:val="0"/>
              <w:autoSpaceDN w:val="0"/>
              <w:adjustRightInd w:val="0"/>
              <w:ind w:left="205"/>
              <w:jc w:val="both"/>
              <w:rPr>
                <w:rFonts w:ascii="Tahoma" w:hAnsi="Tahoma" w:cs="Tahoma"/>
                <w:sz w:val="14"/>
                <w:szCs w:val="14"/>
              </w:rPr>
            </w:pPr>
          </w:p>
        </w:tc>
      </w:tr>
      <w:tr w:rsidR="001D6508" w:rsidRPr="001F0BE5" w14:paraId="01795007" w14:textId="77777777" w:rsidTr="00570C50">
        <w:tc>
          <w:tcPr>
            <w:tcW w:w="736" w:type="dxa"/>
            <w:shd w:val="clear" w:color="auto" w:fill="B8CCE4" w:themeFill="accent1" w:themeFillTint="66"/>
          </w:tcPr>
          <w:p w14:paraId="2FD6A0DC" w14:textId="635A4EFC"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1</w:t>
            </w:r>
            <w:r w:rsidRPr="001F0BE5">
              <w:rPr>
                <w:rFonts w:ascii="Tahoma" w:hAnsi="Tahoma" w:cs="Tahoma"/>
                <w:sz w:val="14"/>
                <w:szCs w:val="14"/>
              </w:rPr>
              <w:t>.</w:t>
            </w:r>
          </w:p>
        </w:tc>
        <w:tc>
          <w:tcPr>
            <w:tcW w:w="2920" w:type="dxa"/>
            <w:shd w:val="clear" w:color="auto" w:fill="B8CCE4" w:themeFill="accent1" w:themeFillTint="66"/>
          </w:tcPr>
          <w:p w14:paraId="57E5E6D2" w14:textId="77777777" w:rsidR="001D6508" w:rsidRPr="001F0BE5" w:rsidRDefault="001D6508" w:rsidP="001D6508">
            <w:pPr>
              <w:autoSpaceDE w:val="0"/>
              <w:autoSpaceDN w:val="0"/>
              <w:adjustRightInd w:val="0"/>
              <w:ind w:left="205"/>
              <w:jc w:val="both"/>
              <w:rPr>
                <w:rFonts w:ascii="Tahoma" w:hAnsi="Tahoma" w:cs="Tahoma"/>
                <w:sz w:val="14"/>
                <w:szCs w:val="14"/>
              </w:rPr>
            </w:pPr>
            <w:r w:rsidRPr="001F0BE5">
              <w:rPr>
                <w:rFonts w:ascii="Tahoma" w:hAnsi="Tahoma" w:cs="Tahoma"/>
                <w:sz w:val="14"/>
                <w:szCs w:val="14"/>
              </w:rPr>
              <w:t>Évolutions ayant eu un impact sur les objectifs de sécurité</w:t>
            </w:r>
          </w:p>
        </w:tc>
        <w:tc>
          <w:tcPr>
            <w:tcW w:w="5978" w:type="dxa"/>
            <w:shd w:val="clear" w:color="auto" w:fill="B8CCE4" w:themeFill="accent1" w:themeFillTint="66"/>
          </w:tcPr>
          <w:p w14:paraId="29D4EA65" w14:textId="77777777" w:rsidR="001D6508" w:rsidRPr="001F0BE5" w:rsidRDefault="001D6508" w:rsidP="001D6508">
            <w:pPr>
              <w:autoSpaceDE w:val="0"/>
              <w:autoSpaceDN w:val="0"/>
              <w:adjustRightInd w:val="0"/>
              <w:ind w:left="205"/>
              <w:jc w:val="both"/>
              <w:rPr>
                <w:rFonts w:ascii="Tahoma" w:hAnsi="Tahoma" w:cs="Tahoma"/>
                <w:sz w:val="14"/>
                <w:szCs w:val="14"/>
              </w:rPr>
            </w:pPr>
          </w:p>
        </w:tc>
        <w:tc>
          <w:tcPr>
            <w:tcW w:w="2127" w:type="dxa"/>
            <w:shd w:val="clear" w:color="auto" w:fill="B8CCE4" w:themeFill="accent1" w:themeFillTint="66"/>
          </w:tcPr>
          <w:p w14:paraId="38BE8ECE" w14:textId="77777777" w:rsidR="001D6508" w:rsidRPr="001F0BE5" w:rsidRDefault="001D6508" w:rsidP="001D6508">
            <w:pPr>
              <w:autoSpaceDE w:val="0"/>
              <w:autoSpaceDN w:val="0"/>
              <w:adjustRightInd w:val="0"/>
              <w:ind w:left="205"/>
              <w:jc w:val="both"/>
              <w:rPr>
                <w:rFonts w:ascii="Tahoma" w:hAnsi="Tahoma" w:cs="Tahoma"/>
                <w:sz w:val="14"/>
                <w:szCs w:val="14"/>
              </w:rPr>
            </w:pPr>
          </w:p>
        </w:tc>
      </w:tr>
      <w:tr w:rsidR="001D6508" w:rsidRPr="001F0BE5" w14:paraId="470DAC1A" w14:textId="77777777" w:rsidTr="00570C50">
        <w:tc>
          <w:tcPr>
            <w:tcW w:w="736" w:type="dxa"/>
          </w:tcPr>
          <w:p w14:paraId="25FFD232" w14:textId="2BF74A76"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1</w:t>
            </w:r>
            <w:r w:rsidRPr="001F0BE5">
              <w:rPr>
                <w:rFonts w:ascii="Tahoma" w:hAnsi="Tahoma" w:cs="Tahoma"/>
                <w:sz w:val="14"/>
                <w:szCs w:val="14"/>
              </w:rPr>
              <w:t>.1.</w:t>
            </w:r>
          </w:p>
        </w:tc>
        <w:tc>
          <w:tcPr>
            <w:tcW w:w="2920" w:type="dxa"/>
          </w:tcPr>
          <w:p w14:paraId="622F7DBD" w14:textId="77777777" w:rsidR="001D6508" w:rsidRPr="001F0BE5" w:rsidRDefault="001D6508" w:rsidP="001D6508">
            <w:pPr>
              <w:autoSpaceDE w:val="0"/>
              <w:autoSpaceDN w:val="0"/>
              <w:adjustRightInd w:val="0"/>
              <w:ind w:left="205"/>
              <w:rPr>
                <w:rFonts w:ascii="Tahoma" w:hAnsi="Tahoma" w:cs="Tahoma"/>
                <w:color w:val="000000"/>
                <w:sz w:val="14"/>
                <w:szCs w:val="14"/>
              </w:rPr>
            </w:pPr>
            <w:r w:rsidRPr="001F0BE5">
              <w:rPr>
                <w:rFonts w:ascii="Tahoma" w:hAnsi="Tahoma" w:cs="Tahoma"/>
                <w:color w:val="000000"/>
                <w:sz w:val="14"/>
                <w:szCs w:val="14"/>
              </w:rPr>
              <w:t>Gouvernance et organisation</w:t>
            </w:r>
          </w:p>
        </w:tc>
        <w:tc>
          <w:tcPr>
            <w:tcW w:w="5978" w:type="dxa"/>
          </w:tcPr>
          <w:p w14:paraId="52F79C21" w14:textId="676201D1"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 xml:space="preserve">Commentaire synthétique, d’une longueur comprise entre 500 et </w:t>
            </w:r>
            <w:r w:rsidRPr="00B80CC7">
              <w:rPr>
                <w:rFonts w:ascii="Tahoma" w:hAnsi="Tahoma" w:cs="Tahoma"/>
                <w:i/>
                <w:color w:val="0070C0"/>
                <w:sz w:val="14"/>
                <w:szCs w:val="14"/>
              </w:rPr>
              <w:t>3.000</w:t>
            </w:r>
            <w:r w:rsidRPr="00B80CC7">
              <w:rPr>
                <w:rFonts w:ascii="Tahoma" w:hAnsi="Tahoma" w:cs="Tahoma"/>
                <w:color w:val="0070C0"/>
                <w:sz w:val="14"/>
                <w:szCs w:val="14"/>
              </w:rPr>
              <w:t xml:space="preserve"> </w:t>
            </w:r>
            <w:r>
              <w:rPr>
                <w:rFonts w:ascii="Tahoma" w:hAnsi="Tahoma" w:cs="Tahoma"/>
                <w:sz w:val="14"/>
                <w:szCs w:val="14"/>
              </w:rPr>
              <w:t>caractères, précisant les évolutions apportées depuis la dernière remise en termes de gouvernance et d’organisation.</w:t>
            </w:r>
          </w:p>
        </w:tc>
        <w:tc>
          <w:tcPr>
            <w:tcW w:w="2127" w:type="dxa"/>
          </w:tcPr>
          <w:p w14:paraId="6D6E99C2" w14:textId="091CF328"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 xml:space="preserve">AN [500 ; </w:t>
            </w:r>
            <w:r w:rsidRPr="00B80CC7">
              <w:rPr>
                <w:rFonts w:ascii="Tahoma" w:hAnsi="Tahoma" w:cs="Tahoma"/>
                <w:i/>
                <w:color w:val="0070C0"/>
                <w:sz w:val="14"/>
                <w:szCs w:val="14"/>
              </w:rPr>
              <w:t>3.000</w:t>
            </w:r>
            <w:r>
              <w:rPr>
                <w:rFonts w:ascii="Tahoma" w:hAnsi="Tahoma" w:cs="Tahoma"/>
                <w:sz w:val="14"/>
                <w:szCs w:val="14"/>
              </w:rPr>
              <w:t>]</w:t>
            </w:r>
          </w:p>
        </w:tc>
      </w:tr>
      <w:tr w:rsidR="001D6508" w:rsidRPr="001F0BE5" w14:paraId="24463F64" w14:textId="77777777" w:rsidTr="00570C50">
        <w:tc>
          <w:tcPr>
            <w:tcW w:w="736" w:type="dxa"/>
          </w:tcPr>
          <w:p w14:paraId="729036A3" w14:textId="621A0163"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1</w:t>
            </w:r>
            <w:r w:rsidRPr="001F0BE5">
              <w:rPr>
                <w:rFonts w:ascii="Tahoma" w:hAnsi="Tahoma" w:cs="Tahoma"/>
                <w:sz w:val="14"/>
                <w:szCs w:val="14"/>
              </w:rPr>
              <w:t>.2.</w:t>
            </w:r>
          </w:p>
        </w:tc>
        <w:tc>
          <w:tcPr>
            <w:tcW w:w="2920" w:type="dxa"/>
          </w:tcPr>
          <w:p w14:paraId="218CF936" w14:textId="77777777" w:rsidR="001D6508" w:rsidRPr="001F0BE5" w:rsidRDefault="001D6508" w:rsidP="001D6508">
            <w:pPr>
              <w:autoSpaceDE w:val="0"/>
              <w:autoSpaceDN w:val="0"/>
              <w:adjustRightInd w:val="0"/>
              <w:ind w:left="205"/>
              <w:jc w:val="both"/>
              <w:rPr>
                <w:rFonts w:ascii="Tahoma" w:hAnsi="Tahoma" w:cs="Tahoma"/>
                <w:color w:val="000000"/>
                <w:sz w:val="14"/>
                <w:szCs w:val="14"/>
              </w:rPr>
            </w:pPr>
            <w:r w:rsidRPr="001F0BE5">
              <w:rPr>
                <w:rFonts w:ascii="Tahoma" w:hAnsi="Tahoma" w:cs="Tahoma"/>
                <w:color w:val="000000"/>
                <w:sz w:val="14"/>
                <w:szCs w:val="14"/>
              </w:rPr>
              <w:t>Évaluation des risques</w:t>
            </w:r>
          </w:p>
        </w:tc>
        <w:tc>
          <w:tcPr>
            <w:tcW w:w="5978" w:type="dxa"/>
          </w:tcPr>
          <w:p w14:paraId="384158F8" w14:textId="44EA95C1"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 xml:space="preserve">Commentaire synthétique, d’une longueur comprise entre 500 et </w:t>
            </w:r>
            <w:r w:rsidRPr="00B80CC7">
              <w:rPr>
                <w:rFonts w:ascii="Tahoma" w:hAnsi="Tahoma" w:cs="Tahoma"/>
                <w:i/>
                <w:color w:val="0070C0"/>
                <w:sz w:val="14"/>
                <w:szCs w:val="14"/>
              </w:rPr>
              <w:t>3.000</w:t>
            </w:r>
            <w:r w:rsidRPr="00B80CC7">
              <w:rPr>
                <w:rFonts w:ascii="Tahoma" w:hAnsi="Tahoma" w:cs="Tahoma"/>
                <w:color w:val="0070C0"/>
                <w:sz w:val="14"/>
                <w:szCs w:val="14"/>
              </w:rPr>
              <w:t xml:space="preserve"> </w:t>
            </w:r>
            <w:r>
              <w:rPr>
                <w:rFonts w:ascii="Tahoma" w:hAnsi="Tahoma" w:cs="Tahoma"/>
                <w:sz w:val="14"/>
                <w:szCs w:val="14"/>
              </w:rPr>
              <w:t>caractères, précisant les évolutions apportées depuis la dernière remise en matière d’évaluation des risques : expositions, système d’information,…</w:t>
            </w:r>
          </w:p>
        </w:tc>
        <w:tc>
          <w:tcPr>
            <w:tcW w:w="2127" w:type="dxa"/>
          </w:tcPr>
          <w:p w14:paraId="7A9AEB6A" w14:textId="2D42F771"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 xml:space="preserve">AN [500 ; </w:t>
            </w:r>
            <w:r w:rsidRPr="00B80CC7">
              <w:rPr>
                <w:rFonts w:ascii="Tahoma" w:hAnsi="Tahoma" w:cs="Tahoma"/>
                <w:i/>
                <w:color w:val="0070C0"/>
                <w:sz w:val="14"/>
                <w:szCs w:val="14"/>
              </w:rPr>
              <w:t>3.000</w:t>
            </w:r>
            <w:r>
              <w:rPr>
                <w:rFonts w:ascii="Tahoma" w:hAnsi="Tahoma" w:cs="Tahoma"/>
                <w:sz w:val="14"/>
                <w:szCs w:val="14"/>
              </w:rPr>
              <w:t>]</w:t>
            </w:r>
          </w:p>
        </w:tc>
      </w:tr>
      <w:tr w:rsidR="001D6508" w:rsidRPr="001F0BE5" w14:paraId="101E0E3C" w14:textId="77777777" w:rsidTr="00570C50">
        <w:tc>
          <w:tcPr>
            <w:tcW w:w="736" w:type="dxa"/>
          </w:tcPr>
          <w:p w14:paraId="35FA98CD" w14:textId="5BA47EBB"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1</w:t>
            </w:r>
            <w:r w:rsidRPr="001F0BE5">
              <w:rPr>
                <w:rFonts w:ascii="Tahoma" w:hAnsi="Tahoma" w:cs="Tahoma"/>
                <w:sz w:val="14"/>
                <w:szCs w:val="14"/>
              </w:rPr>
              <w:t>.3.</w:t>
            </w:r>
          </w:p>
        </w:tc>
        <w:tc>
          <w:tcPr>
            <w:tcW w:w="2920" w:type="dxa"/>
          </w:tcPr>
          <w:p w14:paraId="69C4B029" w14:textId="77777777" w:rsidR="001D6508" w:rsidRPr="001F0BE5" w:rsidRDefault="001D6508" w:rsidP="001D6508">
            <w:pPr>
              <w:autoSpaceDE w:val="0"/>
              <w:autoSpaceDN w:val="0"/>
              <w:adjustRightInd w:val="0"/>
              <w:ind w:left="205"/>
              <w:jc w:val="both"/>
              <w:rPr>
                <w:rFonts w:ascii="Tahoma" w:hAnsi="Tahoma" w:cs="Tahoma"/>
                <w:color w:val="000000"/>
                <w:sz w:val="14"/>
                <w:szCs w:val="14"/>
              </w:rPr>
            </w:pPr>
            <w:r w:rsidRPr="001F0BE5">
              <w:rPr>
                <w:rFonts w:ascii="Tahoma" w:hAnsi="Tahoma" w:cs="Tahoma"/>
                <w:color w:val="000000"/>
                <w:sz w:val="14"/>
                <w:szCs w:val="14"/>
              </w:rPr>
              <w:t>Gestion des incidents et reporting</w:t>
            </w:r>
          </w:p>
        </w:tc>
        <w:tc>
          <w:tcPr>
            <w:tcW w:w="5978" w:type="dxa"/>
          </w:tcPr>
          <w:p w14:paraId="39A6FDDF" w14:textId="248B1FD1"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 xml:space="preserve">Commentaire synthétique, d’une longueur comprise entre 500 et </w:t>
            </w:r>
            <w:r w:rsidRPr="00B80CC7">
              <w:rPr>
                <w:rFonts w:ascii="Tahoma" w:hAnsi="Tahoma" w:cs="Tahoma"/>
                <w:i/>
                <w:color w:val="0070C0"/>
                <w:sz w:val="14"/>
                <w:szCs w:val="14"/>
              </w:rPr>
              <w:t>3.000</w:t>
            </w:r>
            <w:r w:rsidRPr="00B80CC7">
              <w:rPr>
                <w:rFonts w:ascii="Tahoma" w:hAnsi="Tahoma" w:cs="Tahoma"/>
                <w:color w:val="0070C0"/>
                <w:sz w:val="14"/>
                <w:szCs w:val="14"/>
              </w:rPr>
              <w:t xml:space="preserve"> </w:t>
            </w:r>
            <w:r>
              <w:rPr>
                <w:rFonts w:ascii="Tahoma" w:hAnsi="Tahoma" w:cs="Tahoma"/>
                <w:sz w:val="14"/>
                <w:szCs w:val="14"/>
              </w:rPr>
              <w:t>caractères, précisant les évolutions apportées en matière de gestion de tout type d’incident et d’élaboration des reportings depuis la dernière remise.</w:t>
            </w:r>
          </w:p>
        </w:tc>
        <w:tc>
          <w:tcPr>
            <w:tcW w:w="2127" w:type="dxa"/>
          </w:tcPr>
          <w:p w14:paraId="25FA5866" w14:textId="4FDF315E"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 xml:space="preserve">AN [500 ; </w:t>
            </w:r>
            <w:r w:rsidRPr="00B80CC7">
              <w:rPr>
                <w:rFonts w:ascii="Tahoma" w:hAnsi="Tahoma" w:cs="Tahoma"/>
                <w:i/>
                <w:color w:val="0070C0"/>
                <w:sz w:val="14"/>
                <w:szCs w:val="14"/>
              </w:rPr>
              <w:t>3.000</w:t>
            </w:r>
            <w:r>
              <w:rPr>
                <w:rFonts w:ascii="Tahoma" w:hAnsi="Tahoma" w:cs="Tahoma"/>
                <w:sz w:val="14"/>
                <w:szCs w:val="14"/>
              </w:rPr>
              <w:t>]</w:t>
            </w:r>
          </w:p>
        </w:tc>
      </w:tr>
      <w:tr w:rsidR="001D6508" w:rsidRPr="001F0BE5" w14:paraId="572A4865" w14:textId="77777777" w:rsidTr="00570C50">
        <w:tc>
          <w:tcPr>
            <w:tcW w:w="736" w:type="dxa"/>
          </w:tcPr>
          <w:p w14:paraId="6C14CAB8" w14:textId="7C2415B6"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1</w:t>
            </w:r>
            <w:r w:rsidRPr="001F0BE5">
              <w:rPr>
                <w:rFonts w:ascii="Tahoma" w:hAnsi="Tahoma" w:cs="Tahoma"/>
                <w:sz w:val="14"/>
                <w:szCs w:val="14"/>
              </w:rPr>
              <w:t>.4.</w:t>
            </w:r>
          </w:p>
        </w:tc>
        <w:tc>
          <w:tcPr>
            <w:tcW w:w="2920" w:type="dxa"/>
          </w:tcPr>
          <w:p w14:paraId="74B1D426" w14:textId="77777777" w:rsidR="001D6508" w:rsidRPr="001F0BE5" w:rsidRDefault="001D6508" w:rsidP="001D6508">
            <w:pPr>
              <w:autoSpaceDE w:val="0"/>
              <w:autoSpaceDN w:val="0"/>
              <w:adjustRightInd w:val="0"/>
              <w:ind w:left="205"/>
              <w:rPr>
                <w:rFonts w:ascii="Tahoma" w:hAnsi="Tahoma" w:cs="Tahoma"/>
                <w:color w:val="000000"/>
                <w:sz w:val="14"/>
                <w:szCs w:val="14"/>
              </w:rPr>
            </w:pPr>
            <w:r w:rsidRPr="001F0BE5">
              <w:rPr>
                <w:rFonts w:ascii="Tahoma" w:hAnsi="Tahoma" w:cs="Tahoma"/>
                <w:color w:val="000000"/>
                <w:sz w:val="14"/>
                <w:szCs w:val="14"/>
              </w:rPr>
              <w:t>Contrôle et encadrement des risques</w:t>
            </w:r>
          </w:p>
        </w:tc>
        <w:tc>
          <w:tcPr>
            <w:tcW w:w="5978" w:type="dxa"/>
          </w:tcPr>
          <w:p w14:paraId="6524B7CE" w14:textId="01BEBCEF"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 xml:space="preserve">Commentaire synthétique, d’une longueur comprise entre 500 et </w:t>
            </w:r>
            <w:r w:rsidRPr="00B80CC7">
              <w:rPr>
                <w:rFonts w:ascii="Tahoma" w:hAnsi="Tahoma" w:cs="Tahoma"/>
                <w:i/>
                <w:color w:val="0070C0"/>
                <w:sz w:val="14"/>
                <w:szCs w:val="14"/>
              </w:rPr>
              <w:t>3.000</w:t>
            </w:r>
            <w:r w:rsidRPr="00B80CC7">
              <w:rPr>
                <w:rFonts w:ascii="Tahoma" w:hAnsi="Tahoma" w:cs="Tahoma"/>
                <w:color w:val="0070C0"/>
                <w:sz w:val="14"/>
                <w:szCs w:val="14"/>
              </w:rPr>
              <w:t xml:space="preserve"> </w:t>
            </w:r>
            <w:r>
              <w:rPr>
                <w:rFonts w:ascii="Tahoma" w:hAnsi="Tahoma" w:cs="Tahoma"/>
                <w:sz w:val="14"/>
                <w:szCs w:val="14"/>
              </w:rPr>
              <w:t>caractères, précisant les évolutions apportées depuis la dernière remise en matière d’encadrement des risques (financiers, opérationnels, …).</w:t>
            </w:r>
          </w:p>
        </w:tc>
        <w:tc>
          <w:tcPr>
            <w:tcW w:w="2127" w:type="dxa"/>
          </w:tcPr>
          <w:p w14:paraId="0621BBB2" w14:textId="78F7DDF0"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 xml:space="preserve">AN [500 ; </w:t>
            </w:r>
            <w:r w:rsidRPr="00B80CC7">
              <w:rPr>
                <w:rFonts w:ascii="Tahoma" w:hAnsi="Tahoma" w:cs="Tahoma"/>
                <w:i/>
                <w:color w:val="0070C0"/>
                <w:sz w:val="14"/>
                <w:szCs w:val="14"/>
              </w:rPr>
              <w:t>3.000</w:t>
            </w:r>
            <w:r>
              <w:rPr>
                <w:rFonts w:ascii="Tahoma" w:hAnsi="Tahoma" w:cs="Tahoma"/>
                <w:sz w:val="14"/>
                <w:szCs w:val="14"/>
              </w:rPr>
              <w:t>]</w:t>
            </w:r>
          </w:p>
        </w:tc>
      </w:tr>
      <w:tr w:rsidR="001D6508" w:rsidRPr="001F0BE5" w14:paraId="743748A3" w14:textId="77777777" w:rsidTr="00570C50">
        <w:tc>
          <w:tcPr>
            <w:tcW w:w="736" w:type="dxa"/>
          </w:tcPr>
          <w:p w14:paraId="0C283565" w14:textId="281441E4"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1</w:t>
            </w:r>
            <w:r w:rsidRPr="001F0BE5">
              <w:rPr>
                <w:rFonts w:ascii="Tahoma" w:hAnsi="Tahoma" w:cs="Tahoma"/>
                <w:sz w:val="14"/>
                <w:szCs w:val="14"/>
              </w:rPr>
              <w:t>.5.</w:t>
            </w:r>
          </w:p>
        </w:tc>
        <w:tc>
          <w:tcPr>
            <w:tcW w:w="2920" w:type="dxa"/>
          </w:tcPr>
          <w:p w14:paraId="7D9509FA" w14:textId="77777777" w:rsidR="001D6508" w:rsidRPr="001F0BE5" w:rsidRDefault="001D6508" w:rsidP="001D6508">
            <w:pPr>
              <w:autoSpaceDE w:val="0"/>
              <w:autoSpaceDN w:val="0"/>
              <w:adjustRightInd w:val="0"/>
              <w:ind w:left="205"/>
              <w:jc w:val="both"/>
              <w:rPr>
                <w:rFonts w:ascii="Tahoma" w:hAnsi="Tahoma" w:cs="Tahoma"/>
                <w:color w:val="000000"/>
                <w:sz w:val="14"/>
                <w:szCs w:val="14"/>
              </w:rPr>
            </w:pPr>
            <w:r w:rsidRPr="001F0BE5">
              <w:rPr>
                <w:rFonts w:ascii="Tahoma" w:hAnsi="Tahoma" w:cs="Tahoma"/>
                <w:color w:val="000000"/>
                <w:sz w:val="14"/>
                <w:szCs w:val="14"/>
              </w:rPr>
              <w:t>Traçabilité / piste d’audit</w:t>
            </w:r>
          </w:p>
        </w:tc>
        <w:tc>
          <w:tcPr>
            <w:tcW w:w="5978" w:type="dxa"/>
          </w:tcPr>
          <w:p w14:paraId="59ACB50E" w14:textId="58605FCB"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 xml:space="preserve">Commentaire synthétique, d’une longueur comprise entre 500 et </w:t>
            </w:r>
            <w:r w:rsidRPr="00B80CC7">
              <w:rPr>
                <w:rFonts w:ascii="Tahoma" w:hAnsi="Tahoma" w:cs="Tahoma"/>
                <w:i/>
                <w:color w:val="0070C0"/>
                <w:sz w:val="14"/>
                <w:szCs w:val="14"/>
              </w:rPr>
              <w:t>3.000</w:t>
            </w:r>
            <w:r w:rsidRPr="00B80CC7">
              <w:rPr>
                <w:rFonts w:ascii="Tahoma" w:hAnsi="Tahoma" w:cs="Tahoma"/>
                <w:color w:val="0070C0"/>
                <w:sz w:val="14"/>
                <w:szCs w:val="14"/>
              </w:rPr>
              <w:t xml:space="preserve"> </w:t>
            </w:r>
            <w:r>
              <w:rPr>
                <w:rFonts w:ascii="Tahoma" w:hAnsi="Tahoma" w:cs="Tahoma"/>
                <w:sz w:val="14"/>
                <w:szCs w:val="14"/>
              </w:rPr>
              <w:t>caractères, précisant les évolutions apportées depuis la dernière remise en matière de traçabilité des opérations et d’élaboration des pistes d’audit.</w:t>
            </w:r>
          </w:p>
        </w:tc>
        <w:tc>
          <w:tcPr>
            <w:tcW w:w="2127" w:type="dxa"/>
          </w:tcPr>
          <w:p w14:paraId="1C2FE37F" w14:textId="0C0A4217"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 xml:space="preserve">AN [500 ; </w:t>
            </w:r>
            <w:r w:rsidRPr="00B80CC7">
              <w:rPr>
                <w:rFonts w:ascii="Tahoma" w:hAnsi="Tahoma" w:cs="Tahoma"/>
                <w:i/>
                <w:color w:val="0070C0"/>
                <w:sz w:val="14"/>
                <w:szCs w:val="14"/>
              </w:rPr>
              <w:t>3.000</w:t>
            </w:r>
            <w:r>
              <w:rPr>
                <w:rFonts w:ascii="Tahoma" w:hAnsi="Tahoma" w:cs="Tahoma"/>
                <w:sz w:val="14"/>
                <w:szCs w:val="14"/>
              </w:rPr>
              <w:t>]</w:t>
            </w:r>
          </w:p>
        </w:tc>
      </w:tr>
      <w:tr w:rsidR="001D6508" w:rsidRPr="001F0BE5" w14:paraId="1FBC36FE" w14:textId="77777777" w:rsidTr="00570C50">
        <w:tc>
          <w:tcPr>
            <w:tcW w:w="736" w:type="dxa"/>
          </w:tcPr>
          <w:p w14:paraId="07EA9CB0" w14:textId="3980ADB5"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1</w:t>
            </w:r>
            <w:r w:rsidRPr="001F0BE5">
              <w:rPr>
                <w:rFonts w:ascii="Tahoma" w:hAnsi="Tahoma" w:cs="Tahoma"/>
                <w:sz w:val="14"/>
                <w:szCs w:val="14"/>
              </w:rPr>
              <w:t>.6.</w:t>
            </w:r>
          </w:p>
        </w:tc>
        <w:tc>
          <w:tcPr>
            <w:tcW w:w="2920" w:type="dxa"/>
          </w:tcPr>
          <w:p w14:paraId="4E89CEFF" w14:textId="77777777" w:rsidR="001D6508" w:rsidRPr="001F0BE5" w:rsidRDefault="001D6508" w:rsidP="001D6508">
            <w:pPr>
              <w:autoSpaceDE w:val="0"/>
              <w:autoSpaceDN w:val="0"/>
              <w:adjustRightInd w:val="0"/>
              <w:ind w:left="205"/>
              <w:jc w:val="both"/>
              <w:rPr>
                <w:rFonts w:ascii="Tahoma" w:hAnsi="Tahoma" w:cs="Tahoma"/>
                <w:color w:val="000000"/>
                <w:sz w:val="14"/>
                <w:szCs w:val="14"/>
              </w:rPr>
            </w:pPr>
            <w:r w:rsidRPr="001F0BE5">
              <w:rPr>
                <w:rFonts w:ascii="Tahoma" w:hAnsi="Tahoma" w:cs="Tahoma"/>
                <w:color w:val="000000"/>
                <w:sz w:val="14"/>
                <w:szCs w:val="14"/>
              </w:rPr>
              <w:t xml:space="preserve">Sécurité physique du titre </w:t>
            </w:r>
          </w:p>
        </w:tc>
        <w:tc>
          <w:tcPr>
            <w:tcW w:w="5978" w:type="dxa"/>
          </w:tcPr>
          <w:p w14:paraId="17D6FC48" w14:textId="38F2CDC1"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 xml:space="preserve">Commentaire synthétique, d’une longueur comprise entre 500 et </w:t>
            </w:r>
            <w:r w:rsidRPr="00B80CC7">
              <w:rPr>
                <w:rFonts w:ascii="Tahoma" w:hAnsi="Tahoma" w:cs="Tahoma"/>
                <w:i/>
                <w:color w:val="0070C0"/>
                <w:sz w:val="14"/>
                <w:szCs w:val="14"/>
              </w:rPr>
              <w:t>3.000</w:t>
            </w:r>
            <w:r w:rsidRPr="00B80CC7">
              <w:rPr>
                <w:rFonts w:ascii="Tahoma" w:hAnsi="Tahoma" w:cs="Tahoma"/>
                <w:color w:val="0070C0"/>
                <w:sz w:val="14"/>
                <w:szCs w:val="14"/>
              </w:rPr>
              <w:t xml:space="preserve"> </w:t>
            </w:r>
            <w:r>
              <w:rPr>
                <w:rFonts w:ascii="Tahoma" w:hAnsi="Tahoma" w:cs="Tahoma"/>
                <w:sz w:val="14"/>
                <w:szCs w:val="14"/>
              </w:rPr>
              <w:t>caractères, précisant les évolutions apportées depuis la dernière remise en matière de sécurité physique des titres émis</w:t>
            </w:r>
          </w:p>
        </w:tc>
        <w:tc>
          <w:tcPr>
            <w:tcW w:w="2127" w:type="dxa"/>
          </w:tcPr>
          <w:p w14:paraId="66C7F2D8" w14:textId="5238EF15"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 xml:space="preserve">AN [500 ; </w:t>
            </w:r>
            <w:r w:rsidRPr="00B80CC7">
              <w:rPr>
                <w:rFonts w:ascii="Tahoma" w:hAnsi="Tahoma" w:cs="Tahoma"/>
                <w:i/>
                <w:color w:val="0070C0"/>
                <w:sz w:val="14"/>
                <w:szCs w:val="14"/>
              </w:rPr>
              <w:t>3.000</w:t>
            </w:r>
            <w:r>
              <w:rPr>
                <w:rFonts w:ascii="Tahoma" w:hAnsi="Tahoma" w:cs="Tahoma"/>
                <w:sz w:val="14"/>
                <w:szCs w:val="14"/>
              </w:rPr>
              <w:t>]</w:t>
            </w:r>
          </w:p>
        </w:tc>
      </w:tr>
      <w:tr w:rsidR="001D6508" w:rsidRPr="001F0BE5" w14:paraId="1A7F9C77" w14:textId="77777777" w:rsidTr="00570C50">
        <w:tc>
          <w:tcPr>
            <w:tcW w:w="736" w:type="dxa"/>
          </w:tcPr>
          <w:p w14:paraId="12965EAE" w14:textId="4C797D69"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1</w:t>
            </w:r>
            <w:r w:rsidRPr="001F0BE5">
              <w:rPr>
                <w:rFonts w:ascii="Tahoma" w:hAnsi="Tahoma" w:cs="Tahoma"/>
                <w:sz w:val="14"/>
                <w:szCs w:val="14"/>
              </w:rPr>
              <w:t>.7.</w:t>
            </w:r>
          </w:p>
        </w:tc>
        <w:tc>
          <w:tcPr>
            <w:tcW w:w="2920" w:type="dxa"/>
          </w:tcPr>
          <w:p w14:paraId="2DBAF9BA" w14:textId="77777777" w:rsidR="001D6508" w:rsidRPr="001F0BE5" w:rsidRDefault="001D6508" w:rsidP="001D6508">
            <w:pPr>
              <w:autoSpaceDE w:val="0"/>
              <w:autoSpaceDN w:val="0"/>
              <w:adjustRightInd w:val="0"/>
              <w:ind w:left="205"/>
              <w:jc w:val="both"/>
              <w:rPr>
                <w:rFonts w:ascii="Tahoma" w:hAnsi="Tahoma" w:cs="Tahoma"/>
                <w:color w:val="000000"/>
                <w:sz w:val="14"/>
                <w:szCs w:val="14"/>
              </w:rPr>
            </w:pPr>
            <w:r w:rsidRPr="001F0BE5">
              <w:rPr>
                <w:rFonts w:ascii="Tahoma" w:hAnsi="Tahoma" w:cs="Tahoma"/>
                <w:color w:val="000000"/>
                <w:sz w:val="14"/>
                <w:szCs w:val="14"/>
              </w:rPr>
              <w:t>Enrôlement des utilisateurs et sécurité des opérations sensibles</w:t>
            </w:r>
          </w:p>
        </w:tc>
        <w:tc>
          <w:tcPr>
            <w:tcW w:w="5978" w:type="dxa"/>
          </w:tcPr>
          <w:p w14:paraId="790B171A" w14:textId="1A799436"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 xml:space="preserve">Commentaire synthétique, d’une longueur comprise entre 500 et </w:t>
            </w:r>
            <w:r w:rsidRPr="00B80CC7">
              <w:rPr>
                <w:rFonts w:ascii="Tahoma" w:hAnsi="Tahoma" w:cs="Tahoma"/>
                <w:i/>
                <w:color w:val="0070C0"/>
                <w:sz w:val="14"/>
                <w:szCs w:val="14"/>
              </w:rPr>
              <w:t>3.000</w:t>
            </w:r>
            <w:r w:rsidRPr="00B80CC7">
              <w:rPr>
                <w:rFonts w:ascii="Tahoma" w:hAnsi="Tahoma" w:cs="Tahoma"/>
                <w:color w:val="0070C0"/>
                <w:sz w:val="14"/>
                <w:szCs w:val="14"/>
              </w:rPr>
              <w:t xml:space="preserve"> </w:t>
            </w:r>
            <w:r>
              <w:rPr>
                <w:rFonts w:ascii="Tahoma" w:hAnsi="Tahoma" w:cs="Tahoma"/>
                <w:sz w:val="14"/>
                <w:szCs w:val="14"/>
              </w:rPr>
              <w:t>caractères, précisant les évolutions apportées depuis la dernière remise en matière d’enrôlement des utilisateurs et des mesures de sécurité appliquées sur les opérations sensibles</w:t>
            </w:r>
          </w:p>
        </w:tc>
        <w:tc>
          <w:tcPr>
            <w:tcW w:w="2127" w:type="dxa"/>
          </w:tcPr>
          <w:p w14:paraId="56ABDE65" w14:textId="5774449C"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 xml:space="preserve">AN [500 ; </w:t>
            </w:r>
            <w:r w:rsidRPr="00B80CC7">
              <w:rPr>
                <w:rFonts w:ascii="Tahoma" w:hAnsi="Tahoma" w:cs="Tahoma"/>
                <w:i/>
                <w:color w:val="0070C0"/>
                <w:sz w:val="14"/>
                <w:szCs w:val="14"/>
              </w:rPr>
              <w:t>3.000</w:t>
            </w:r>
            <w:r>
              <w:rPr>
                <w:rFonts w:ascii="Tahoma" w:hAnsi="Tahoma" w:cs="Tahoma"/>
                <w:sz w:val="14"/>
                <w:szCs w:val="14"/>
              </w:rPr>
              <w:t>]</w:t>
            </w:r>
          </w:p>
        </w:tc>
      </w:tr>
      <w:tr w:rsidR="001D6508" w:rsidRPr="001F0BE5" w14:paraId="556F9B04" w14:textId="77777777" w:rsidTr="00570C50">
        <w:tc>
          <w:tcPr>
            <w:tcW w:w="736" w:type="dxa"/>
          </w:tcPr>
          <w:p w14:paraId="2CA2378E" w14:textId="635930A3"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1</w:t>
            </w:r>
            <w:r w:rsidRPr="001F0BE5">
              <w:rPr>
                <w:rFonts w:ascii="Tahoma" w:hAnsi="Tahoma" w:cs="Tahoma"/>
                <w:sz w:val="14"/>
                <w:szCs w:val="14"/>
              </w:rPr>
              <w:t>.8.</w:t>
            </w:r>
          </w:p>
        </w:tc>
        <w:tc>
          <w:tcPr>
            <w:tcW w:w="2920" w:type="dxa"/>
          </w:tcPr>
          <w:p w14:paraId="663A1082" w14:textId="77777777" w:rsidR="001D6508" w:rsidRPr="001F0BE5" w:rsidRDefault="001D6508" w:rsidP="001D6508">
            <w:pPr>
              <w:autoSpaceDE w:val="0"/>
              <w:autoSpaceDN w:val="0"/>
              <w:adjustRightInd w:val="0"/>
              <w:ind w:left="205"/>
              <w:jc w:val="both"/>
              <w:rPr>
                <w:rFonts w:ascii="Tahoma" w:hAnsi="Tahoma" w:cs="Tahoma"/>
                <w:color w:val="000000"/>
                <w:sz w:val="14"/>
                <w:szCs w:val="14"/>
              </w:rPr>
            </w:pPr>
            <w:r w:rsidRPr="001F0BE5">
              <w:rPr>
                <w:rFonts w:ascii="Tahoma" w:hAnsi="Tahoma" w:cs="Tahoma"/>
                <w:color w:val="000000"/>
                <w:sz w:val="14"/>
                <w:szCs w:val="14"/>
              </w:rPr>
              <w:t xml:space="preserve">Sécurité de la transmission des supports </w:t>
            </w:r>
            <w:r>
              <w:rPr>
                <w:rFonts w:ascii="Tahoma" w:hAnsi="Tahoma" w:cs="Tahoma"/>
                <w:color w:val="000000"/>
                <w:sz w:val="14"/>
                <w:szCs w:val="14"/>
              </w:rPr>
              <w:t>de titres</w:t>
            </w:r>
          </w:p>
        </w:tc>
        <w:tc>
          <w:tcPr>
            <w:tcW w:w="5978" w:type="dxa"/>
          </w:tcPr>
          <w:p w14:paraId="5C9847D5" w14:textId="19875227"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 xml:space="preserve">Commentaire synthétique, d’une longueur comprise entre 500 et </w:t>
            </w:r>
            <w:r w:rsidRPr="00B80CC7">
              <w:rPr>
                <w:rFonts w:ascii="Tahoma" w:hAnsi="Tahoma" w:cs="Tahoma"/>
                <w:i/>
                <w:color w:val="0070C0"/>
                <w:sz w:val="14"/>
                <w:szCs w:val="14"/>
              </w:rPr>
              <w:t>3.000</w:t>
            </w:r>
            <w:r w:rsidRPr="00B80CC7">
              <w:rPr>
                <w:rFonts w:ascii="Tahoma" w:hAnsi="Tahoma" w:cs="Tahoma"/>
                <w:color w:val="0070C0"/>
                <w:sz w:val="14"/>
                <w:szCs w:val="14"/>
              </w:rPr>
              <w:t xml:space="preserve"> </w:t>
            </w:r>
            <w:r>
              <w:rPr>
                <w:rFonts w:ascii="Tahoma" w:hAnsi="Tahoma" w:cs="Tahoma"/>
                <w:sz w:val="14"/>
                <w:szCs w:val="14"/>
              </w:rPr>
              <w:t>caractères, précisant les évolutions apportées depuis la dernière remise sur la sécurité entourant la transmission aux clients des supports</w:t>
            </w:r>
          </w:p>
        </w:tc>
        <w:tc>
          <w:tcPr>
            <w:tcW w:w="2127" w:type="dxa"/>
          </w:tcPr>
          <w:p w14:paraId="38F6217D" w14:textId="2DCA507B"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 xml:space="preserve">AN [500 ; </w:t>
            </w:r>
            <w:r w:rsidRPr="00B80CC7">
              <w:rPr>
                <w:rFonts w:ascii="Tahoma" w:hAnsi="Tahoma" w:cs="Tahoma"/>
                <w:i/>
                <w:color w:val="0070C0"/>
                <w:sz w:val="14"/>
                <w:szCs w:val="14"/>
              </w:rPr>
              <w:t>3.000</w:t>
            </w:r>
            <w:r>
              <w:rPr>
                <w:rFonts w:ascii="Tahoma" w:hAnsi="Tahoma" w:cs="Tahoma"/>
                <w:sz w:val="14"/>
                <w:szCs w:val="14"/>
              </w:rPr>
              <w:t>]</w:t>
            </w:r>
          </w:p>
        </w:tc>
      </w:tr>
      <w:tr w:rsidR="001D6508" w:rsidRPr="001F0BE5" w14:paraId="66482291" w14:textId="77777777" w:rsidTr="00570C50">
        <w:tc>
          <w:tcPr>
            <w:tcW w:w="736" w:type="dxa"/>
          </w:tcPr>
          <w:p w14:paraId="359AC3CB" w14:textId="4F3C04C7"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lastRenderedPageBreak/>
              <w:t>1</w:t>
            </w:r>
            <w:r w:rsidRPr="001F0BE5">
              <w:rPr>
                <w:rFonts w:ascii="Tahoma" w:hAnsi="Tahoma" w:cs="Tahoma"/>
                <w:sz w:val="14"/>
                <w:szCs w:val="14"/>
              </w:rPr>
              <w:t>.9.</w:t>
            </w:r>
          </w:p>
        </w:tc>
        <w:tc>
          <w:tcPr>
            <w:tcW w:w="2920" w:type="dxa"/>
          </w:tcPr>
          <w:p w14:paraId="0D560656" w14:textId="77777777" w:rsidR="001D6508" w:rsidRPr="001F0BE5" w:rsidRDefault="001D6508" w:rsidP="001D6508">
            <w:pPr>
              <w:autoSpaceDE w:val="0"/>
              <w:autoSpaceDN w:val="0"/>
              <w:adjustRightInd w:val="0"/>
              <w:ind w:left="205"/>
              <w:jc w:val="both"/>
              <w:rPr>
                <w:rFonts w:ascii="Tahoma" w:hAnsi="Tahoma" w:cs="Tahoma"/>
                <w:color w:val="000000"/>
                <w:sz w:val="14"/>
                <w:szCs w:val="14"/>
              </w:rPr>
            </w:pPr>
            <w:r w:rsidRPr="001F0BE5">
              <w:rPr>
                <w:rFonts w:ascii="Tahoma" w:hAnsi="Tahoma" w:cs="Tahoma"/>
                <w:color w:val="000000"/>
                <w:sz w:val="14"/>
                <w:szCs w:val="14"/>
              </w:rPr>
              <w:t>Dispositif de surveillance des opérations</w:t>
            </w:r>
          </w:p>
        </w:tc>
        <w:tc>
          <w:tcPr>
            <w:tcW w:w="5978" w:type="dxa"/>
          </w:tcPr>
          <w:p w14:paraId="383DBE93" w14:textId="3D34C041"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 xml:space="preserve">Commentaire synthétique, d’une longueur comprise entre 500 et </w:t>
            </w:r>
            <w:r w:rsidRPr="00B80CC7">
              <w:rPr>
                <w:rFonts w:ascii="Tahoma" w:hAnsi="Tahoma" w:cs="Tahoma"/>
                <w:i/>
                <w:color w:val="0070C0"/>
                <w:sz w:val="14"/>
                <w:szCs w:val="14"/>
              </w:rPr>
              <w:t>3.000</w:t>
            </w:r>
            <w:r w:rsidRPr="00B80CC7">
              <w:rPr>
                <w:rFonts w:ascii="Tahoma" w:hAnsi="Tahoma" w:cs="Tahoma"/>
                <w:color w:val="0070C0"/>
                <w:sz w:val="14"/>
                <w:szCs w:val="14"/>
              </w:rPr>
              <w:t xml:space="preserve"> </w:t>
            </w:r>
            <w:r>
              <w:rPr>
                <w:rFonts w:ascii="Tahoma" w:hAnsi="Tahoma" w:cs="Tahoma"/>
                <w:sz w:val="14"/>
                <w:szCs w:val="14"/>
              </w:rPr>
              <w:t>caractères, précisant les évolutions apportées depuis la dernière remise s’agissant du dispositif encadrant la surveillance des opérations initiées avec un TSPD/IPS</w:t>
            </w:r>
          </w:p>
        </w:tc>
        <w:tc>
          <w:tcPr>
            <w:tcW w:w="2127" w:type="dxa"/>
          </w:tcPr>
          <w:p w14:paraId="2349EE4F" w14:textId="3C3E8F64"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 xml:space="preserve">AN [500 ; </w:t>
            </w:r>
            <w:r w:rsidRPr="00B80CC7">
              <w:rPr>
                <w:rFonts w:ascii="Tahoma" w:hAnsi="Tahoma" w:cs="Tahoma"/>
                <w:i/>
                <w:color w:val="0070C0"/>
                <w:sz w:val="14"/>
                <w:szCs w:val="14"/>
              </w:rPr>
              <w:t>3.000</w:t>
            </w:r>
            <w:r>
              <w:rPr>
                <w:rFonts w:ascii="Tahoma" w:hAnsi="Tahoma" w:cs="Tahoma"/>
                <w:sz w:val="14"/>
                <w:szCs w:val="14"/>
              </w:rPr>
              <w:t>]</w:t>
            </w:r>
          </w:p>
        </w:tc>
      </w:tr>
      <w:tr w:rsidR="001D6508" w:rsidRPr="001F0BE5" w14:paraId="4A952389" w14:textId="77777777" w:rsidTr="00570C50">
        <w:tc>
          <w:tcPr>
            <w:tcW w:w="736" w:type="dxa"/>
          </w:tcPr>
          <w:p w14:paraId="7862F4A8" w14:textId="4E0156BB"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1</w:t>
            </w:r>
            <w:r w:rsidRPr="001F0BE5">
              <w:rPr>
                <w:rFonts w:ascii="Tahoma" w:hAnsi="Tahoma" w:cs="Tahoma"/>
                <w:sz w:val="14"/>
                <w:szCs w:val="14"/>
              </w:rPr>
              <w:t>.10.</w:t>
            </w:r>
          </w:p>
        </w:tc>
        <w:tc>
          <w:tcPr>
            <w:tcW w:w="2920" w:type="dxa"/>
          </w:tcPr>
          <w:p w14:paraId="0750C506" w14:textId="77777777" w:rsidR="001D6508" w:rsidRPr="001F0BE5" w:rsidRDefault="001D6508" w:rsidP="001D6508">
            <w:pPr>
              <w:autoSpaceDE w:val="0"/>
              <w:autoSpaceDN w:val="0"/>
              <w:adjustRightInd w:val="0"/>
              <w:ind w:left="205"/>
              <w:jc w:val="both"/>
              <w:rPr>
                <w:rFonts w:ascii="Tahoma" w:hAnsi="Tahoma" w:cs="Tahoma"/>
                <w:color w:val="000000"/>
                <w:sz w:val="14"/>
                <w:szCs w:val="14"/>
              </w:rPr>
            </w:pPr>
            <w:r w:rsidRPr="001F0BE5">
              <w:rPr>
                <w:rFonts w:ascii="Tahoma" w:hAnsi="Tahoma" w:cs="Tahoma"/>
                <w:color w:val="000000"/>
                <w:sz w:val="14"/>
                <w:szCs w:val="14"/>
              </w:rPr>
              <w:t>Protection des données sensibles de paiement</w:t>
            </w:r>
          </w:p>
        </w:tc>
        <w:tc>
          <w:tcPr>
            <w:tcW w:w="5978" w:type="dxa"/>
          </w:tcPr>
          <w:p w14:paraId="40A3318D" w14:textId="3D9FEBAD"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 xml:space="preserve">Commentaire synthétique, d’une longueur comprise entre 500 et </w:t>
            </w:r>
            <w:r w:rsidRPr="00B80CC7">
              <w:rPr>
                <w:rFonts w:ascii="Tahoma" w:hAnsi="Tahoma" w:cs="Tahoma"/>
                <w:i/>
                <w:color w:val="0070C0"/>
                <w:sz w:val="14"/>
                <w:szCs w:val="14"/>
              </w:rPr>
              <w:t>3.000</w:t>
            </w:r>
            <w:r w:rsidRPr="00B80CC7">
              <w:rPr>
                <w:rFonts w:ascii="Tahoma" w:hAnsi="Tahoma" w:cs="Tahoma"/>
                <w:color w:val="0070C0"/>
                <w:sz w:val="14"/>
                <w:szCs w:val="14"/>
              </w:rPr>
              <w:t xml:space="preserve"> </w:t>
            </w:r>
            <w:r>
              <w:rPr>
                <w:rFonts w:ascii="Tahoma" w:hAnsi="Tahoma" w:cs="Tahoma"/>
                <w:sz w:val="14"/>
                <w:szCs w:val="14"/>
              </w:rPr>
              <w:t>caractères, précisant les évolutions apportées depuis la dernière remise en matière de protection des données sensibles de paiement</w:t>
            </w:r>
          </w:p>
        </w:tc>
        <w:tc>
          <w:tcPr>
            <w:tcW w:w="2127" w:type="dxa"/>
          </w:tcPr>
          <w:p w14:paraId="491520B9" w14:textId="4391278A"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 xml:space="preserve">AN [500 ; </w:t>
            </w:r>
            <w:r w:rsidRPr="00B80CC7">
              <w:rPr>
                <w:rFonts w:ascii="Tahoma" w:hAnsi="Tahoma" w:cs="Tahoma"/>
                <w:i/>
                <w:color w:val="0070C0"/>
                <w:sz w:val="14"/>
                <w:szCs w:val="14"/>
              </w:rPr>
              <w:t>3.000</w:t>
            </w:r>
            <w:r>
              <w:rPr>
                <w:rFonts w:ascii="Tahoma" w:hAnsi="Tahoma" w:cs="Tahoma"/>
                <w:sz w:val="14"/>
                <w:szCs w:val="14"/>
              </w:rPr>
              <w:t>]</w:t>
            </w:r>
          </w:p>
        </w:tc>
      </w:tr>
      <w:tr w:rsidR="001D6508" w:rsidRPr="001F0BE5" w14:paraId="3D536472" w14:textId="77777777" w:rsidTr="00570C50">
        <w:tc>
          <w:tcPr>
            <w:tcW w:w="736" w:type="dxa"/>
          </w:tcPr>
          <w:p w14:paraId="56811FCD" w14:textId="30892288"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1</w:t>
            </w:r>
            <w:r w:rsidRPr="001F0BE5">
              <w:rPr>
                <w:rFonts w:ascii="Tahoma" w:hAnsi="Tahoma" w:cs="Tahoma"/>
                <w:sz w:val="14"/>
                <w:szCs w:val="14"/>
              </w:rPr>
              <w:t>.11.</w:t>
            </w:r>
          </w:p>
        </w:tc>
        <w:tc>
          <w:tcPr>
            <w:tcW w:w="2920" w:type="dxa"/>
          </w:tcPr>
          <w:p w14:paraId="32ADDDEE" w14:textId="77777777" w:rsidR="001D6508" w:rsidRPr="001F0BE5" w:rsidRDefault="001D6508" w:rsidP="001D6508">
            <w:pPr>
              <w:autoSpaceDE w:val="0"/>
              <w:autoSpaceDN w:val="0"/>
              <w:adjustRightInd w:val="0"/>
              <w:ind w:left="205"/>
              <w:jc w:val="both"/>
              <w:rPr>
                <w:rFonts w:ascii="Tahoma" w:hAnsi="Tahoma" w:cs="Tahoma"/>
                <w:color w:val="000000"/>
                <w:sz w:val="14"/>
                <w:szCs w:val="14"/>
              </w:rPr>
            </w:pPr>
            <w:r w:rsidRPr="001F0BE5">
              <w:rPr>
                <w:rFonts w:ascii="Tahoma" w:hAnsi="Tahoma" w:cs="Tahoma"/>
                <w:color w:val="000000"/>
                <w:sz w:val="14"/>
                <w:szCs w:val="14"/>
              </w:rPr>
              <w:t>Sensibilisation de l’utilisateur aux règles de sécurité</w:t>
            </w:r>
          </w:p>
        </w:tc>
        <w:tc>
          <w:tcPr>
            <w:tcW w:w="5978" w:type="dxa"/>
          </w:tcPr>
          <w:p w14:paraId="5327C0DC" w14:textId="54A3CC1A"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 xml:space="preserve">Commentaire synthétique, d’une longueur comprise entre 500 et </w:t>
            </w:r>
            <w:r w:rsidRPr="00B80CC7">
              <w:rPr>
                <w:rFonts w:ascii="Tahoma" w:hAnsi="Tahoma" w:cs="Tahoma"/>
                <w:i/>
                <w:color w:val="0070C0"/>
                <w:sz w:val="14"/>
                <w:szCs w:val="14"/>
              </w:rPr>
              <w:t>3.000</w:t>
            </w:r>
            <w:r w:rsidRPr="00B80CC7">
              <w:rPr>
                <w:rFonts w:ascii="Tahoma" w:hAnsi="Tahoma" w:cs="Tahoma"/>
                <w:color w:val="0070C0"/>
                <w:sz w:val="14"/>
                <w:szCs w:val="14"/>
              </w:rPr>
              <w:t xml:space="preserve"> </w:t>
            </w:r>
            <w:r>
              <w:rPr>
                <w:rFonts w:ascii="Tahoma" w:hAnsi="Tahoma" w:cs="Tahoma"/>
                <w:sz w:val="14"/>
                <w:szCs w:val="14"/>
              </w:rPr>
              <w:t>caractères, précisant les évolutions apportées depuis la dernière remise concernant les actions de sensibilisation des utilisateurs aux règles de sécurité liées à l’usage des TSPD/IPS</w:t>
            </w:r>
          </w:p>
        </w:tc>
        <w:tc>
          <w:tcPr>
            <w:tcW w:w="2127" w:type="dxa"/>
          </w:tcPr>
          <w:p w14:paraId="2E70ED7B" w14:textId="0430102D" w:rsidR="001D6508" w:rsidRPr="001F0BE5" w:rsidRDefault="001D6508" w:rsidP="001D6508">
            <w:pPr>
              <w:autoSpaceDE w:val="0"/>
              <w:autoSpaceDN w:val="0"/>
              <w:adjustRightInd w:val="0"/>
              <w:ind w:left="205"/>
              <w:jc w:val="both"/>
              <w:rPr>
                <w:rFonts w:ascii="Tahoma" w:hAnsi="Tahoma" w:cs="Tahoma"/>
                <w:sz w:val="14"/>
                <w:szCs w:val="14"/>
              </w:rPr>
            </w:pPr>
            <w:r>
              <w:rPr>
                <w:rFonts w:ascii="Tahoma" w:hAnsi="Tahoma" w:cs="Tahoma"/>
                <w:sz w:val="14"/>
                <w:szCs w:val="14"/>
              </w:rPr>
              <w:t xml:space="preserve">AN [500 ; </w:t>
            </w:r>
            <w:r w:rsidRPr="00B80CC7">
              <w:rPr>
                <w:rFonts w:ascii="Tahoma" w:hAnsi="Tahoma" w:cs="Tahoma"/>
                <w:i/>
                <w:color w:val="0070C0"/>
                <w:sz w:val="14"/>
                <w:szCs w:val="14"/>
              </w:rPr>
              <w:t>3.000</w:t>
            </w:r>
            <w:r>
              <w:rPr>
                <w:rFonts w:ascii="Tahoma" w:hAnsi="Tahoma" w:cs="Tahoma"/>
                <w:sz w:val="14"/>
                <w:szCs w:val="14"/>
              </w:rPr>
              <w:t>]</w:t>
            </w:r>
          </w:p>
        </w:tc>
      </w:tr>
    </w:tbl>
    <w:p w14:paraId="43413E4F" w14:textId="77777777" w:rsidR="0092730B" w:rsidRDefault="0092730B" w:rsidP="0092730B">
      <w:pPr>
        <w:autoSpaceDE w:val="0"/>
        <w:autoSpaceDN w:val="0"/>
        <w:adjustRightInd w:val="0"/>
        <w:spacing w:after="0"/>
        <w:jc w:val="both"/>
        <w:rPr>
          <w:rFonts w:cstheme="minorHAnsi"/>
        </w:rPr>
      </w:pPr>
    </w:p>
    <w:p w14:paraId="02035410" w14:textId="2B650FE5" w:rsidR="000B5F02" w:rsidRPr="00EB5991" w:rsidRDefault="000B5F02" w:rsidP="00C26BA3">
      <w:pPr>
        <w:pStyle w:val="Titre2"/>
        <w:numPr>
          <w:ilvl w:val="1"/>
          <w:numId w:val="21"/>
        </w:numPr>
        <w:spacing w:before="0" w:beforeAutospacing="0" w:after="0" w:afterAutospacing="0"/>
        <w:ind w:left="709"/>
      </w:pPr>
      <w:bookmarkStart w:id="21" w:name="_Toc158133143"/>
      <w:r>
        <w:t xml:space="preserve">Volet qualitatif de la collecte et Renseignement du fichier </w:t>
      </w:r>
      <w:r w:rsidR="007E49DB">
        <w:t xml:space="preserve">relatif à l’auto </w:t>
      </w:r>
      <w:r w:rsidR="00BB1925">
        <w:t>évaluation de la sécurité de l’émetteur</w:t>
      </w:r>
      <w:r w:rsidR="007E49DB">
        <w:t xml:space="preserve"> : </w:t>
      </w:r>
      <w:r>
        <w:t>« </w:t>
      </w:r>
      <w:r w:rsidRPr="000B5F02">
        <w:rPr>
          <w:sz w:val="20"/>
        </w:rPr>
        <w:t>NOM_ENTREPRISE_TSPD_IPS_CESU_IEOM_</w:t>
      </w:r>
      <w:r>
        <w:rPr>
          <w:sz w:val="20"/>
        </w:rPr>
        <w:t>Auto_evaluation</w:t>
      </w:r>
      <w:r w:rsidRPr="000B5F02">
        <w:rPr>
          <w:sz w:val="20"/>
        </w:rPr>
        <w:t>_securite_202</w:t>
      </w:r>
      <w:r w:rsidR="00B80CC7">
        <w:rPr>
          <w:sz w:val="20"/>
        </w:rPr>
        <w:t>4</w:t>
      </w:r>
      <w:r w:rsidRPr="000B5F02">
        <w:rPr>
          <w:sz w:val="20"/>
        </w:rPr>
        <w:t>.</w:t>
      </w:r>
      <w:r>
        <w:rPr>
          <w:sz w:val="20"/>
        </w:rPr>
        <w:t>docx</w:t>
      </w:r>
      <w:r>
        <w:t> »</w:t>
      </w:r>
      <w:bookmarkEnd w:id="21"/>
    </w:p>
    <w:p w14:paraId="5F3295FB" w14:textId="523F0893" w:rsidR="005A7F24" w:rsidRPr="00EE2DA8" w:rsidRDefault="005A7F24" w:rsidP="00064C0D">
      <w:pPr>
        <w:spacing w:after="120" w:afterAutospacing="0"/>
        <w:jc w:val="both"/>
        <w:rPr>
          <w:rFonts w:cs="Arial"/>
          <w:b/>
          <w:bCs/>
          <w:sz w:val="20"/>
        </w:rPr>
      </w:pPr>
      <w:r w:rsidRPr="00EE2DA8">
        <w:rPr>
          <w:rFonts w:cs="Arial"/>
          <w:b/>
          <w:bCs/>
          <w:sz w:val="20"/>
        </w:rPr>
        <w:t>Cette remise ne concerne pas les établissements ayant déjà remis ce document au titre de l’exercice 2022</w:t>
      </w:r>
      <w:r w:rsidR="004A5C80">
        <w:rPr>
          <w:rFonts w:cs="Arial"/>
          <w:b/>
          <w:bCs/>
          <w:sz w:val="20"/>
        </w:rPr>
        <w:t xml:space="preserve"> (collecte </w:t>
      </w:r>
      <w:r w:rsidR="00B80CC7">
        <w:rPr>
          <w:rFonts w:cs="Arial"/>
          <w:b/>
          <w:bCs/>
          <w:i/>
          <w:color w:val="0070C0"/>
          <w:sz w:val="20"/>
        </w:rPr>
        <w:t xml:space="preserve">réalisée en </w:t>
      </w:r>
      <w:r w:rsidR="004A5C80">
        <w:rPr>
          <w:rFonts w:cs="Arial"/>
          <w:b/>
          <w:bCs/>
          <w:sz w:val="20"/>
        </w:rPr>
        <w:t>2023)</w:t>
      </w:r>
      <w:r w:rsidR="00B80CC7">
        <w:rPr>
          <w:rFonts w:cs="Arial"/>
          <w:b/>
          <w:bCs/>
          <w:sz w:val="20"/>
        </w:rPr>
        <w:t xml:space="preserve"> </w:t>
      </w:r>
      <w:r w:rsidR="00B80CC7">
        <w:rPr>
          <w:rFonts w:cs="Arial"/>
          <w:b/>
          <w:bCs/>
          <w:i/>
          <w:color w:val="0070C0"/>
          <w:sz w:val="20"/>
        </w:rPr>
        <w:t xml:space="preserve">et de l’exercice 2023 (collecte </w:t>
      </w:r>
      <w:r w:rsidR="005C4F05">
        <w:rPr>
          <w:rFonts w:cs="Arial"/>
          <w:b/>
          <w:bCs/>
          <w:i/>
          <w:color w:val="0070C0"/>
          <w:sz w:val="20"/>
        </w:rPr>
        <w:t xml:space="preserve">réalisée en </w:t>
      </w:r>
      <w:r w:rsidR="00B80CC7">
        <w:rPr>
          <w:rFonts w:cs="Arial"/>
          <w:b/>
          <w:bCs/>
          <w:i/>
          <w:color w:val="0070C0"/>
          <w:sz w:val="20"/>
        </w:rPr>
        <w:t>2024)</w:t>
      </w:r>
      <w:r w:rsidRPr="00EE2DA8">
        <w:rPr>
          <w:rFonts w:cs="Arial"/>
          <w:b/>
          <w:bCs/>
          <w:sz w:val="20"/>
        </w:rPr>
        <w:t>.</w:t>
      </w:r>
    </w:p>
    <w:p w14:paraId="799A7D52" w14:textId="6289E567" w:rsidR="00A42723" w:rsidRDefault="00994E8D" w:rsidP="00064C0D">
      <w:pPr>
        <w:spacing w:after="120" w:afterAutospacing="0"/>
        <w:jc w:val="both"/>
        <w:rPr>
          <w:rFonts w:cs="Arial"/>
          <w:bCs/>
          <w:sz w:val="20"/>
        </w:rPr>
      </w:pPr>
      <w:r>
        <w:rPr>
          <w:rFonts w:cs="Arial"/>
          <w:bCs/>
          <w:sz w:val="20"/>
        </w:rPr>
        <w:t>Les règles de renseignement du tableau « Auto évaluation de la sécurité » sont les suivantes</w:t>
      </w:r>
      <w:r w:rsidR="00A42723" w:rsidRPr="001929A0">
        <w:rPr>
          <w:rFonts w:cs="Arial"/>
          <w:bCs/>
          <w:sz w:val="20"/>
        </w:rPr>
        <w:t xml:space="preserve"> : </w:t>
      </w:r>
    </w:p>
    <w:p w14:paraId="56581098" w14:textId="02FF0620" w:rsidR="00ED21AB" w:rsidRPr="00064C0D" w:rsidRDefault="00ED21AB" w:rsidP="00064C0D">
      <w:pPr>
        <w:pStyle w:val="Paragraphedeliste"/>
        <w:numPr>
          <w:ilvl w:val="0"/>
          <w:numId w:val="5"/>
        </w:numPr>
        <w:spacing w:before="0" w:beforeAutospacing="0" w:after="0" w:afterAutospacing="0"/>
        <w:jc w:val="both"/>
        <w:rPr>
          <w:rFonts w:eastAsiaTheme="majorEastAsia" w:cs="Arial"/>
          <w:sz w:val="20"/>
          <w:lang w:eastAsia="en-US"/>
        </w:rPr>
      </w:pPr>
      <w:r>
        <w:rPr>
          <w:rFonts w:eastAsiaTheme="majorEastAsia" w:cs="Arial"/>
          <w:sz w:val="20"/>
          <w:lang w:eastAsia="en-US"/>
        </w:rPr>
        <w:t xml:space="preserve">Les onze thématiques de l’auto évaluation de la </w:t>
      </w:r>
      <w:r w:rsidRPr="00064C0D">
        <w:rPr>
          <w:rFonts w:eastAsiaTheme="majorEastAsia" w:cs="Arial"/>
          <w:sz w:val="20"/>
          <w:lang w:eastAsia="en-US"/>
        </w:rPr>
        <w:t xml:space="preserve">sécurité de l’émetteur (Gouvernance et organisation, Evaluation des risques, gestion des incidents et reporting, Contrôle et limitation des risques, Traçabilité / piste d’audit, </w:t>
      </w:r>
      <w:r w:rsidRPr="00064C0D">
        <w:rPr>
          <w:rFonts w:cs="Arial"/>
          <w:sz w:val="20"/>
          <w:szCs w:val="18"/>
        </w:rPr>
        <w:t xml:space="preserve">Sécurité physique du titre papier (IPS ou CESU), Enrôlement des utilisateurs et sécurité des opérations sensibles, Sécurité de la transmission des supports de TSPD/IPS, </w:t>
      </w:r>
      <w:r w:rsidR="00064C0D" w:rsidRPr="00064C0D">
        <w:rPr>
          <w:rFonts w:cs="Arial"/>
          <w:sz w:val="20"/>
          <w:szCs w:val="18"/>
        </w:rPr>
        <w:t xml:space="preserve">Dispositif de surveillance des opérations, Protection des données sensibles de paiement et </w:t>
      </w:r>
      <w:r w:rsidR="00064C0D" w:rsidRPr="00064C0D">
        <w:rPr>
          <w:rFonts w:cs="Arial"/>
          <w:sz w:val="20"/>
        </w:rPr>
        <w:t>Sensibilisation de l’utilisateur aux règles de sécurité)</w:t>
      </w:r>
      <w:r w:rsidR="003B220F">
        <w:rPr>
          <w:rFonts w:cs="Arial"/>
          <w:sz w:val="20"/>
        </w:rPr>
        <w:t xml:space="preserve"> se déclinent en différentes </w:t>
      </w:r>
      <w:r w:rsidR="0054416D">
        <w:rPr>
          <w:rFonts w:cs="Arial"/>
          <w:sz w:val="20"/>
        </w:rPr>
        <w:t>Considérations C</w:t>
      </w:r>
      <w:r w:rsidR="003B220F">
        <w:rPr>
          <w:rFonts w:cs="Arial"/>
          <w:sz w:val="20"/>
        </w:rPr>
        <w:t>lés</w:t>
      </w:r>
      <w:r w:rsidR="00064C0D" w:rsidRPr="00064C0D">
        <w:rPr>
          <w:rFonts w:cs="Arial"/>
          <w:sz w:val="20"/>
        </w:rPr>
        <w:t>.</w:t>
      </w:r>
    </w:p>
    <w:p w14:paraId="6F68AE8D" w14:textId="77777777" w:rsidR="0054416D" w:rsidRPr="0054416D" w:rsidRDefault="0054416D" w:rsidP="0054416D">
      <w:pPr>
        <w:pStyle w:val="Paragraphedeliste"/>
        <w:rPr>
          <w:rFonts w:ascii="Tahoma" w:eastAsiaTheme="majorEastAsia" w:hAnsi="Tahoma" w:cs="Tahoma"/>
          <w:sz w:val="20"/>
          <w:lang w:eastAsia="en-US"/>
        </w:rPr>
      </w:pPr>
    </w:p>
    <w:p w14:paraId="27D8E712" w14:textId="3E4D28FE" w:rsidR="00A42723" w:rsidRDefault="008321F2" w:rsidP="00064C0D">
      <w:pPr>
        <w:pStyle w:val="Paragraphedeliste"/>
        <w:numPr>
          <w:ilvl w:val="0"/>
          <w:numId w:val="5"/>
        </w:numPr>
        <w:spacing w:before="0" w:beforeAutospacing="0" w:after="0" w:afterAutospacing="0"/>
        <w:jc w:val="both"/>
        <w:rPr>
          <w:rFonts w:ascii="Tahoma" w:eastAsiaTheme="majorEastAsia" w:hAnsi="Tahoma" w:cs="Tahoma"/>
          <w:sz w:val="20"/>
          <w:lang w:eastAsia="en-US"/>
        </w:rPr>
      </w:pPr>
      <w:r>
        <w:rPr>
          <w:rFonts w:ascii="Tahoma" w:eastAsiaTheme="majorEastAsia" w:hAnsi="Tahoma" w:cs="Tahoma"/>
          <w:sz w:val="20"/>
          <w:lang w:eastAsia="en-US"/>
        </w:rPr>
        <w:t>P</w:t>
      </w:r>
      <w:r w:rsidR="005C4F05">
        <w:rPr>
          <w:rFonts w:ascii="Tahoma" w:eastAsiaTheme="majorEastAsia" w:hAnsi="Tahoma" w:cs="Tahoma"/>
          <w:sz w:val="20"/>
          <w:lang w:eastAsia="en-US"/>
        </w:rPr>
        <w:t>ou</w:t>
      </w:r>
      <w:r>
        <w:rPr>
          <w:rFonts w:ascii="Tahoma" w:eastAsiaTheme="majorEastAsia" w:hAnsi="Tahoma" w:cs="Tahoma"/>
          <w:sz w:val="20"/>
          <w:lang w:eastAsia="en-US"/>
        </w:rPr>
        <w:t xml:space="preserve">r </w:t>
      </w:r>
      <w:r w:rsidR="005C4F05">
        <w:rPr>
          <w:rFonts w:ascii="Tahoma" w:eastAsiaTheme="majorEastAsia" w:hAnsi="Tahoma" w:cs="Tahoma"/>
          <w:sz w:val="20"/>
          <w:lang w:eastAsia="en-US"/>
        </w:rPr>
        <w:t>chaque Considération Clé</w:t>
      </w:r>
      <w:r>
        <w:rPr>
          <w:rFonts w:ascii="Tahoma" w:eastAsiaTheme="majorEastAsia" w:hAnsi="Tahoma" w:cs="Tahoma"/>
          <w:sz w:val="20"/>
          <w:lang w:eastAsia="en-US"/>
        </w:rPr>
        <w:t>, l</w:t>
      </w:r>
      <w:r w:rsidR="00A42723" w:rsidRPr="00545AF2">
        <w:rPr>
          <w:rFonts w:ascii="Tahoma" w:eastAsiaTheme="majorEastAsia" w:hAnsi="Tahoma" w:cs="Tahoma"/>
          <w:sz w:val="20"/>
          <w:lang w:eastAsia="en-US"/>
        </w:rPr>
        <w:t>es données</w:t>
      </w:r>
      <w:r w:rsidR="006D7CAF" w:rsidRPr="00545AF2">
        <w:rPr>
          <w:rFonts w:ascii="Tahoma" w:eastAsiaTheme="majorEastAsia" w:hAnsi="Tahoma" w:cs="Tahoma"/>
          <w:sz w:val="20"/>
          <w:lang w:eastAsia="en-US"/>
        </w:rPr>
        <w:t xml:space="preserve"> </w:t>
      </w:r>
      <w:r w:rsidR="006F0D8B" w:rsidRPr="00545AF2">
        <w:rPr>
          <w:rFonts w:ascii="Tahoma" w:eastAsiaTheme="majorEastAsia" w:hAnsi="Tahoma" w:cs="Tahoma"/>
          <w:b/>
          <w:i/>
          <w:sz w:val="20"/>
          <w:lang w:eastAsia="en-US"/>
        </w:rPr>
        <w:t>niveau de conformité</w:t>
      </w:r>
      <w:r w:rsidR="006F0D8B" w:rsidRPr="00545AF2">
        <w:rPr>
          <w:rFonts w:ascii="Tahoma" w:eastAsiaTheme="majorEastAsia" w:hAnsi="Tahoma" w:cs="Tahoma"/>
          <w:sz w:val="20"/>
          <w:lang w:eastAsia="en-US"/>
        </w:rPr>
        <w:t xml:space="preserve"> </w:t>
      </w:r>
      <w:r w:rsidR="00A42723" w:rsidRPr="00545AF2">
        <w:rPr>
          <w:rFonts w:ascii="Tahoma" w:eastAsiaTheme="majorEastAsia" w:hAnsi="Tahoma" w:cs="Tahoma"/>
          <w:sz w:val="20"/>
          <w:lang w:eastAsia="en-US"/>
        </w:rPr>
        <w:t>s</w:t>
      </w:r>
      <w:r>
        <w:rPr>
          <w:rFonts w:ascii="Tahoma" w:eastAsiaTheme="majorEastAsia" w:hAnsi="Tahoma" w:cs="Tahoma"/>
          <w:sz w:val="20"/>
          <w:lang w:eastAsia="en-US"/>
        </w:rPr>
        <w:t xml:space="preserve">ont à renseigner selon le nombre de </w:t>
      </w:r>
      <w:r w:rsidR="005C4F05">
        <w:rPr>
          <w:rFonts w:ascii="Tahoma" w:eastAsiaTheme="majorEastAsia" w:hAnsi="Tahoma" w:cs="Tahoma"/>
          <w:sz w:val="20"/>
          <w:lang w:eastAsia="en-US"/>
        </w:rPr>
        <w:t>sous-</w:t>
      </w:r>
      <w:r>
        <w:rPr>
          <w:rFonts w:ascii="Tahoma" w:eastAsiaTheme="majorEastAsia" w:hAnsi="Tahoma" w:cs="Tahoma"/>
          <w:sz w:val="20"/>
          <w:lang w:eastAsia="en-US"/>
        </w:rPr>
        <w:t>critères</w:t>
      </w:r>
      <w:r w:rsidR="005C4F05">
        <w:rPr>
          <w:rFonts w:ascii="Tahoma" w:eastAsiaTheme="majorEastAsia" w:hAnsi="Tahoma" w:cs="Tahoma"/>
          <w:sz w:val="20"/>
          <w:lang w:eastAsia="en-US"/>
        </w:rPr>
        <w:t xml:space="preserve"> </w:t>
      </w:r>
      <w:r>
        <w:rPr>
          <w:rFonts w:ascii="Tahoma" w:eastAsiaTheme="majorEastAsia" w:hAnsi="Tahoma" w:cs="Tahoma"/>
          <w:sz w:val="20"/>
          <w:lang w:eastAsia="en-US"/>
        </w:rPr>
        <w:t xml:space="preserve">[listés </w:t>
      </w:r>
      <w:proofErr w:type="gramStart"/>
      <w:r>
        <w:rPr>
          <w:rFonts w:ascii="Tahoma" w:eastAsiaTheme="majorEastAsia" w:hAnsi="Tahoma" w:cs="Tahoma"/>
          <w:sz w:val="20"/>
          <w:lang w:eastAsia="en-US"/>
        </w:rPr>
        <w:t>de a</w:t>
      </w:r>
      <w:proofErr w:type="gramEnd"/>
      <w:r>
        <w:rPr>
          <w:rFonts w:ascii="Tahoma" w:eastAsiaTheme="majorEastAsia" w:hAnsi="Tahoma" w:cs="Tahoma"/>
          <w:sz w:val="20"/>
          <w:lang w:eastAsia="en-US"/>
        </w:rPr>
        <w:t xml:space="preserve">) à h)] </w:t>
      </w:r>
      <w:r w:rsidR="005C4F05">
        <w:rPr>
          <w:rFonts w:ascii="Tahoma" w:eastAsiaTheme="majorEastAsia" w:hAnsi="Tahoma" w:cs="Tahoma"/>
          <w:sz w:val="20"/>
          <w:lang w:eastAsia="en-US"/>
        </w:rPr>
        <w:t>qui sont respectés</w:t>
      </w:r>
      <w:r>
        <w:rPr>
          <w:rFonts w:ascii="Tahoma" w:eastAsiaTheme="majorEastAsia" w:hAnsi="Tahoma" w:cs="Tahoma"/>
          <w:sz w:val="20"/>
          <w:lang w:eastAsia="en-US"/>
        </w:rPr>
        <w:t xml:space="preserve">. La règle </w:t>
      </w:r>
      <w:r w:rsidR="0054416D">
        <w:rPr>
          <w:rFonts w:ascii="Tahoma" w:eastAsiaTheme="majorEastAsia" w:hAnsi="Tahoma" w:cs="Tahoma"/>
          <w:sz w:val="20"/>
          <w:lang w:eastAsia="en-US"/>
        </w:rPr>
        <w:t>d’attribution de la note de la Considération C</w:t>
      </w:r>
      <w:r>
        <w:rPr>
          <w:rFonts w:ascii="Tahoma" w:eastAsiaTheme="majorEastAsia" w:hAnsi="Tahoma" w:cs="Tahoma"/>
          <w:sz w:val="20"/>
          <w:lang w:eastAsia="en-US"/>
        </w:rPr>
        <w:t xml:space="preserve">lé, selon le nombre de </w:t>
      </w:r>
      <w:r w:rsidR="005C4F05">
        <w:rPr>
          <w:rFonts w:ascii="Tahoma" w:eastAsiaTheme="majorEastAsia" w:hAnsi="Tahoma" w:cs="Tahoma"/>
          <w:sz w:val="20"/>
          <w:lang w:eastAsia="en-US"/>
        </w:rPr>
        <w:t>sous-</w:t>
      </w:r>
      <w:r>
        <w:rPr>
          <w:rFonts w:ascii="Tahoma" w:eastAsiaTheme="majorEastAsia" w:hAnsi="Tahoma" w:cs="Tahoma"/>
          <w:sz w:val="20"/>
          <w:lang w:eastAsia="en-US"/>
        </w:rPr>
        <w:t>critères respectés, est la suivante</w:t>
      </w:r>
      <w:r w:rsidR="00A42723" w:rsidRPr="00545AF2">
        <w:rPr>
          <w:rFonts w:ascii="Tahoma" w:eastAsiaTheme="majorEastAsia" w:hAnsi="Tahoma" w:cs="Tahoma"/>
          <w:sz w:val="20"/>
          <w:lang w:eastAsia="en-US"/>
        </w:rPr>
        <w:t xml:space="preserve"> : </w:t>
      </w:r>
    </w:p>
    <w:p w14:paraId="4110739F" w14:textId="77777777" w:rsidR="008321F2" w:rsidRPr="008321F2" w:rsidRDefault="008321F2" w:rsidP="00064C0D">
      <w:pPr>
        <w:pStyle w:val="Paragraphedeliste"/>
        <w:jc w:val="both"/>
        <w:rPr>
          <w:rFonts w:ascii="Tahoma" w:eastAsiaTheme="majorEastAsia" w:hAnsi="Tahoma" w:cs="Tahoma"/>
          <w:sz w:val="20"/>
          <w:lang w:eastAsia="en-US"/>
        </w:rPr>
      </w:pPr>
    </w:p>
    <w:p w14:paraId="47256BEA" w14:textId="2FFA4E84" w:rsidR="00A42723" w:rsidRPr="00545AF2" w:rsidRDefault="00ED21AB" w:rsidP="00064C0D">
      <w:pPr>
        <w:pStyle w:val="Paragraphedeliste"/>
        <w:numPr>
          <w:ilvl w:val="1"/>
          <w:numId w:val="5"/>
        </w:numPr>
        <w:spacing w:before="0" w:beforeAutospacing="0" w:after="0" w:afterAutospacing="0"/>
        <w:jc w:val="both"/>
        <w:rPr>
          <w:rFonts w:ascii="Tahoma" w:eastAsiaTheme="majorEastAsia" w:hAnsi="Tahoma" w:cs="Tahoma"/>
          <w:sz w:val="20"/>
          <w:lang w:eastAsia="en-US"/>
        </w:rPr>
      </w:pPr>
      <w:r>
        <w:rPr>
          <w:rFonts w:ascii="Tahoma" w:eastAsiaTheme="majorEastAsia" w:hAnsi="Tahoma" w:cs="Tahoma"/>
          <w:sz w:val="20"/>
          <w:lang w:eastAsia="en-US"/>
        </w:rPr>
        <w:t xml:space="preserve">Note </w:t>
      </w:r>
      <w:r w:rsidR="00A42723" w:rsidRPr="00545AF2">
        <w:rPr>
          <w:rFonts w:ascii="Tahoma" w:eastAsiaTheme="majorEastAsia" w:hAnsi="Tahoma" w:cs="Tahoma"/>
          <w:sz w:val="20"/>
          <w:lang w:eastAsia="en-US"/>
        </w:rPr>
        <w:t xml:space="preserve">4 - </w:t>
      </w:r>
      <w:r w:rsidR="005B77C7" w:rsidRPr="00545AF2">
        <w:rPr>
          <w:rFonts w:ascii="Tahoma" w:hAnsi="Tahoma" w:cs="Tahoma"/>
          <w:sz w:val="20"/>
        </w:rPr>
        <w:t>Satisfaction à l’ensemble des critères de la Considération Clé</w:t>
      </w:r>
    </w:p>
    <w:p w14:paraId="01A9C9B3" w14:textId="712032D5" w:rsidR="00A42723" w:rsidRPr="00545AF2" w:rsidRDefault="00ED21AB" w:rsidP="00064C0D">
      <w:pPr>
        <w:pStyle w:val="Paragraphedeliste"/>
        <w:numPr>
          <w:ilvl w:val="1"/>
          <w:numId w:val="5"/>
        </w:numPr>
        <w:spacing w:before="0" w:beforeAutospacing="0" w:after="0" w:afterAutospacing="0"/>
        <w:jc w:val="both"/>
        <w:rPr>
          <w:rFonts w:ascii="Tahoma" w:eastAsiaTheme="majorEastAsia" w:hAnsi="Tahoma" w:cs="Tahoma"/>
          <w:sz w:val="20"/>
          <w:lang w:eastAsia="en-US"/>
        </w:rPr>
      </w:pPr>
      <w:r>
        <w:rPr>
          <w:rFonts w:ascii="Tahoma" w:eastAsiaTheme="majorEastAsia" w:hAnsi="Tahoma" w:cs="Tahoma"/>
          <w:sz w:val="20"/>
          <w:lang w:eastAsia="en-US"/>
        </w:rPr>
        <w:t xml:space="preserve">Note </w:t>
      </w:r>
      <w:r w:rsidR="00A42723" w:rsidRPr="00545AF2">
        <w:rPr>
          <w:rFonts w:ascii="Tahoma" w:eastAsiaTheme="majorEastAsia" w:hAnsi="Tahoma" w:cs="Tahoma"/>
          <w:sz w:val="20"/>
          <w:lang w:eastAsia="en-US"/>
        </w:rPr>
        <w:t xml:space="preserve">3 - </w:t>
      </w:r>
      <w:r w:rsidR="005B77C7" w:rsidRPr="00545AF2">
        <w:rPr>
          <w:rFonts w:ascii="Tahoma" w:hAnsi="Tahoma" w:cs="Tahoma"/>
          <w:sz w:val="20"/>
        </w:rPr>
        <w:t>Satisfaction à la majeure partie des critères ; non satisfaction à au moins l’un des critères</w:t>
      </w:r>
    </w:p>
    <w:p w14:paraId="69AB9BC3" w14:textId="21A5D4C1" w:rsidR="00A42723" w:rsidRPr="00545AF2" w:rsidRDefault="00ED21AB" w:rsidP="00064C0D">
      <w:pPr>
        <w:pStyle w:val="Paragraphedeliste"/>
        <w:numPr>
          <w:ilvl w:val="1"/>
          <w:numId w:val="5"/>
        </w:numPr>
        <w:spacing w:before="0" w:beforeAutospacing="0" w:after="0" w:afterAutospacing="0"/>
        <w:jc w:val="both"/>
        <w:rPr>
          <w:rFonts w:ascii="Tahoma" w:eastAsiaTheme="majorEastAsia" w:hAnsi="Tahoma" w:cs="Tahoma"/>
          <w:sz w:val="20"/>
          <w:lang w:eastAsia="en-US"/>
        </w:rPr>
      </w:pPr>
      <w:r>
        <w:rPr>
          <w:rFonts w:ascii="Tahoma" w:eastAsiaTheme="majorEastAsia" w:hAnsi="Tahoma" w:cs="Tahoma"/>
          <w:sz w:val="20"/>
          <w:lang w:eastAsia="en-US"/>
        </w:rPr>
        <w:t xml:space="preserve">Note </w:t>
      </w:r>
      <w:r w:rsidR="00A42723" w:rsidRPr="00545AF2">
        <w:rPr>
          <w:rFonts w:ascii="Tahoma" w:eastAsiaTheme="majorEastAsia" w:hAnsi="Tahoma" w:cs="Tahoma"/>
          <w:sz w:val="20"/>
          <w:lang w:eastAsia="en-US"/>
        </w:rPr>
        <w:t xml:space="preserve">2 - </w:t>
      </w:r>
      <w:r w:rsidR="005B77C7" w:rsidRPr="00545AF2">
        <w:rPr>
          <w:rFonts w:ascii="Tahoma" w:hAnsi="Tahoma" w:cs="Tahoma"/>
          <w:sz w:val="20"/>
        </w:rPr>
        <w:t>Satisfaction à la majeure partie des critères ; non satisfaction à au moins deux des critères</w:t>
      </w:r>
    </w:p>
    <w:p w14:paraId="77836978" w14:textId="35AE5296" w:rsidR="00A42723" w:rsidRPr="00054ADA" w:rsidRDefault="00ED21AB" w:rsidP="00064C0D">
      <w:pPr>
        <w:pStyle w:val="Paragraphedeliste"/>
        <w:numPr>
          <w:ilvl w:val="1"/>
          <w:numId w:val="5"/>
        </w:numPr>
        <w:spacing w:before="0" w:beforeAutospacing="0" w:after="0" w:afterAutospacing="0"/>
        <w:jc w:val="both"/>
        <w:rPr>
          <w:rFonts w:ascii="Tahoma" w:eastAsiaTheme="majorEastAsia" w:hAnsi="Tahoma" w:cs="Tahoma"/>
          <w:sz w:val="20"/>
          <w:lang w:eastAsia="en-US"/>
        </w:rPr>
      </w:pPr>
      <w:r>
        <w:rPr>
          <w:rFonts w:ascii="Tahoma" w:eastAsiaTheme="majorEastAsia" w:hAnsi="Tahoma" w:cs="Tahoma"/>
          <w:sz w:val="20"/>
          <w:lang w:eastAsia="en-US"/>
        </w:rPr>
        <w:t>N</w:t>
      </w:r>
      <w:r w:rsidR="00570C50">
        <w:rPr>
          <w:rFonts w:ascii="Tahoma" w:eastAsiaTheme="majorEastAsia" w:hAnsi="Tahoma" w:cs="Tahoma"/>
          <w:sz w:val="20"/>
          <w:lang w:eastAsia="en-US"/>
        </w:rPr>
        <w:t xml:space="preserve">ote </w:t>
      </w:r>
      <w:r w:rsidR="00A42723" w:rsidRPr="00545AF2">
        <w:rPr>
          <w:rFonts w:ascii="Tahoma" w:eastAsiaTheme="majorEastAsia" w:hAnsi="Tahoma" w:cs="Tahoma"/>
          <w:sz w:val="20"/>
          <w:lang w:eastAsia="en-US"/>
        </w:rPr>
        <w:t xml:space="preserve">1 - </w:t>
      </w:r>
      <w:r w:rsidR="005B77C7" w:rsidRPr="00545AF2">
        <w:rPr>
          <w:rFonts w:ascii="Tahoma" w:hAnsi="Tahoma" w:cs="Tahoma"/>
          <w:sz w:val="20"/>
        </w:rPr>
        <w:t>Non satisfaction de trois critères ou plus</w:t>
      </w:r>
    </w:p>
    <w:p w14:paraId="19A9B198" w14:textId="77777777" w:rsidR="00054ADA" w:rsidRPr="00545AF2" w:rsidRDefault="00054ADA" w:rsidP="00054ADA">
      <w:pPr>
        <w:pStyle w:val="Paragraphedeliste"/>
        <w:spacing w:before="0" w:beforeAutospacing="0" w:after="0" w:afterAutospacing="0"/>
        <w:ind w:left="1440"/>
        <w:jc w:val="both"/>
        <w:rPr>
          <w:rFonts w:ascii="Tahoma" w:eastAsiaTheme="majorEastAsia" w:hAnsi="Tahoma" w:cs="Tahoma"/>
          <w:sz w:val="20"/>
          <w:lang w:eastAsia="en-US"/>
        </w:rPr>
      </w:pPr>
    </w:p>
    <w:p w14:paraId="6B1741F3" w14:textId="77777777" w:rsidR="00054ADA" w:rsidRPr="006926BE" w:rsidRDefault="00054ADA" w:rsidP="00054ADA">
      <w:pPr>
        <w:pStyle w:val="Paragraphedeliste"/>
        <w:numPr>
          <w:ilvl w:val="0"/>
          <w:numId w:val="5"/>
        </w:numPr>
        <w:spacing w:before="0" w:beforeAutospacing="0" w:after="0" w:afterAutospacing="0"/>
        <w:rPr>
          <w:rFonts w:ascii="Tahoma" w:eastAsiaTheme="majorEastAsia" w:hAnsi="Tahoma" w:cs="Tahoma"/>
          <w:sz w:val="20"/>
          <w:lang w:eastAsia="en-US"/>
        </w:rPr>
      </w:pPr>
      <w:r>
        <w:rPr>
          <w:rFonts w:ascii="Tahoma" w:eastAsiaTheme="majorEastAsia" w:hAnsi="Tahoma" w:cs="Tahoma"/>
          <w:sz w:val="20"/>
          <w:lang w:eastAsia="en-US"/>
        </w:rPr>
        <w:t xml:space="preserve">Le point 6 du formulaire d’autoévaluation de la sécurité, ne concerne que les émetteurs de titres ou instruments « papier ». Aussi, les émetteurs de titres dématérialisés renseigneront les cellules concernées par cette partie de l’autoévaluation avec la mention « NNCP » - Ne nous concerne pas. </w:t>
      </w:r>
    </w:p>
    <w:p w14:paraId="5C6C780D" w14:textId="254CCA7B" w:rsidR="008F3EE1" w:rsidRPr="00054ADA" w:rsidRDefault="008F3EE1" w:rsidP="00054ADA">
      <w:pPr>
        <w:spacing w:before="0" w:beforeAutospacing="0" w:after="0" w:afterAutospacing="0"/>
        <w:jc w:val="both"/>
        <w:rPr>
          <w:rFonts w:eastAsiaTheme="majorEastAsia" w:cs="Arial"/>
          <w:sz w:val="20"/>
          <w:lang w:eastAsia="en-US"/>
        </w:rPr>
      </w:pPr>
    </w:p>
    <w:p w14:paraId="0F8A85C5" w14:textId="77777777" w:rsidR="0054416D" w:rsidRDefault="0054416D" w:rsidP="0054416D">
      <w:pPr>
        <w:pStyle w:val="Paragraphedeliste"/>
        <w:numPr>
          <w:ilvl w:val="0"/>
          <w:numId w:val="5"/>
        </w:numPr>
        <w:spacing w:before="0" w:beforeAutospacing="0" w:after="0" w:afterAutospacing="0"/>
        <w:jc w:val="both"/>
        <w:rPr>
          <w:rFonts w:eastAsiaTheme="majorEastAsia" w:cs="Arial"/>
          <w:sz w:val="20"/>
          <w:lang w:eastAsia="en-US"/>
        </w:rPr>
      </w:pPr>
      <w:r>
        <w:rPr>
          <w:rFonts w:eastAsiaTheme="majorEastAsia" w:cs="Arial"/>
          <w:sz w:val="20"/>
          <w:lang w:eastAsia="en-US"/>
        </w:rPr>
        <w:t>Sur les différentes lignes concernées, la couleur rouge, dans les colonnes « Niveau de sécurité » et « Références internes / commentaires », rappelle que les cellules ou champs sont à renseigner.</w:t>
      </w:r>
    </w:p>
    <w:p w14:paraId="2B5844AC" w14:textId="77777777" w:rsidR="0054416D" w:rsidRPr="007401C3" w:rsidRDefault="0054416D" w:rsidP="00064C0D">
      <w:pPr>
        <w:pStyle w:val="Paragraphedeliste"/>
        <w:spacing w:before="0" w:beforeAutospacing="0" w:after="0" w:afterAutospacing="0"/>
        <w:jc w:val="both"/>
        <w:rPr>
          <w:rFonts w:eastAsiaTheme="majorEastAsia" w:cs="Arial"/>
          <w:sz w:val="20"/>
          <w:lang w:eastAsia="en-US"/>
        </w:rPr>
      </w:pPr>
    </w:p>
    <w:tbl>
      <w:tblPr>
        <w:tblW w:w="14752" w:type="dxa"/>
        <w:tblInd w:w="-10" w:type="dxa"/>
        <w:tblCellMar>
          <w:left w:w="70" w:type="dxa"/>
          <w:right w:w="70" w:type="dxa"/>
        </w:tblCellMar>
        <w:tblLook w:val="04A0" w:firstRow="1" w:lastRow="0" w:firstColumn="1" w:lastColumn="0" w:noHBand="0" w:noVBand="1"/>
      </w:tblPr>
      <w:tblGrid>
        <w:gridCol w:w="10"/>
        <w:gridCol w:w="636"/>
        <w:gridCol w:w="9"/>
        <w:gridCol w:w="10202"/>
        <w:gridCol w:w="6"/>
        <w:gridCol w:w="1344"/>
        <w:gridCol w:w="6"/>
        <w:gridCol w:w="2539"/>
      </w:tblGrid>
      <w:tr w:rsidR="001148E2" w:rsidRPr="00A826E0" w14:paraId="36C75717" w14:textId="77777777" w:rsidTr="00A826E0">
        <w:trPr>
          <w:gridBefore w:val="1"/>
          <w:wBefore w:w="10" w:type="dxa"/>
          <w:trHeight w:val="684"/>
        </w:trPr>
        <w:tc>
          <w:tcPr>
            <w:tcW w:w="6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DE70C" w14:textId="77777777" w:rsidR="001148E2" w:rsidRPr="00A826E0" w:rsidRDefault="001148E2" w:rsidP="001148E2">
            <w:pPr>
              <w:spacing w:before="0" w:beforeAutospacing="0" w:after="0" w:afterAutospacing="0"/>
              <w:rPr>
                <w:rFonts w:ascii="Times New Roman" w:hAnsi="Times New Roman"/>
                <w:b/>
                <w:sz w:val="20"/>
                <w:szCs w:val="24"/>
              </w:rPr>
            </w:pPr>
          </w:p>
        </w:tc>
        <w:tc>
          <w:tcPr>
            <w:tcW w:w="102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56104" w14:textId="5264A32B" w:rsidR="001148E2" w:rsidRPr="00A826E0" w:rsidRDefault="001148E2" w:rsidP="009A5170">
            <w:pPr>
              <w:spacing w:before="0" w:beforeAutospacing="0" w:after="0" w:afterAutospacing="0"/>
              <w:jc w:val="center"/>
              <w:rPr>
                <w:rFonts w:cs="Arial"/>
                <w:b/>
                <w:szCs w:val="18"/>
              </w:rPr>
            </w:pPr>
            <w:r w:rsidRPr="00A826E0">
              <w:rPr>
                <w:rFonts w:cs="Arial"/>
                <w:b/>
                <w:szCs w:val="18"/>
              </w:rPr>
              <w:t>AUTO-EVALUATION DE LA SECURITE DES TITRES SPECIAUX DE PAIEMENT DEMATERIALISES</w:t>
            </w:r>
            <w:r w:rsidR="00042B6A">
              <w:rPr>
                <w:rFonts w:cs="Arial"/>
                <w:b/>
                <w:szCs w:val="18"/>
              </w:rPr>
              <w:t xml:space="preserve"> </w:t>
            </w:r>
            <w:r w:rsidR="009A5170">
              <w:rPr>
                <w:rFonts w:cs="Arial"/>
                <w:b/>
                <w:szCs w:val="18"/>
              </w:rPr>
              <w:t xml:space="preserve">ET </w:t>
            </w:r>
            <w:r w:rsidR="00042B6A">
              <w:rPr>
                <w:rFonts w:cs="Arial"/>
                <w:b/>
                <w:szCs w:val="18"/>
              </w:rPr>
              <w:t>INSTRUMENTS DE PAIEMENTS SPECIFIQUES</w:t>
            </w:r>
            <w:r w:rsidR="009A5170">
              <w:rPr>
                <w:rFonts w:cs="Arial"/>
                <w:b/>
                <w:szCs w:val="18"/>
              </w:rPr>
              <w:t xml:space="preserve"> (y compris CESU)</w:t>
            </w:r>
          </w:p>
        </w:tc>
        <w:tc>
          <w:tcPr>
            <w:tcW w:w="13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97D65B" w14:textId="77777777" w:rsidR="001148E2" w:rsidRPr="00A826E0" w:rsidRDefault="001148E2" w:rsidP="001148E2">
            <w:pPr>
              <w:spacing w:before="0" w:beforeAutospacing="0" w:after="0" w:afterAutospacing="0"/>
              <w:jc w:val="center"/>
              <w:rPr>
                <w:rFonts w:cs="Arial"/>
                <w:b/>
                <w:szCs w:val="18"/>
              </w:rPr>
            </w:pPr>
            <w:r w:rsidRPr="00A826E0">
              <w:rPr>
                <w:rFonts w:cs="Arial"/>
                <w:b/>
                <w:szCs w:val="18"/>
              </w:rPr>
              <w:t>NIVEAU DE CONFORMITE</w:t>
            </w:r>
          </w:p>
        </w:tc>
        <w:tc>
          <w:tcPr>
            <w:tcW w:w="2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3F0BD0" w14:textId="77777777" w:rsidR="001148E2" w:rsidRDefault="001148E2" w:rsidP="001148E2">
            <w:pPr>
              <w:spacing w:before="0" w:beforeAutospacing="0" w:after="0" w:afterAutospacing="0"/>
              <w:jc w:val="center"/>
              <w:rPr>
                <w:rFonts w:cs="Arial"/>
                <w:b/>
                <w:szCs w:val="18"/>
              </w:rPr>
            </w:pPr>
            <w:r w:rsidRPr="00A826E0">
              <w:rPr>
                <w:rFonts w:cs="Arial"/>
                <w:b/>
                <w:szCs w:val="18"/>
              </w:rPr>
              <w:t>REFERENCES INTERNES / COMMENTAIRES</w:t>
            </w:r>
          </w:p>
          <w:p w14:paraId="3E073D4C" w14:textId="11187743" w:rsidR="006F0D8B" w:rsidRPr="00A826E0" w:rsidRDefault="006F0D8B" w:rsidP="001148E2">
            <w:pPr>
              <w:spacing w:before="0" w:beforeAutospacing="0" w:after="0" w:afterAutospacing="0"/>
              <w:jc w:val="center"/>
              <w:rPr>
                <w:rFonts w:cs="Arial"/>
                <w:b/>
                <w:szCs w:val="18"/>
              </w:rPr>
            </w:pPr>
            <w:r>
              <w:rPr>
                <w:rFonts w:cs="Arial"/>
                <w:b/>
                <w:szCs w:val="18"/>
              </w:rPr>
              <w:t>Obligatoire</w:t>
            </w:r>
          </w:p>
        </w:tc>
      </w:tr>
      <w:tr w:rsidR="00320CD5" w:rsidRPr="00A826E0" w14:paraId="60C8DA47" w14:textId="77777777" w:rsidTr="00A826E0">
        <w:trPr>
          <w:gridBefore w:val="1"/>
          <w:wBefore w:w="10" w:type="dxa"/>
          <w:trHeight w:val="276"/>
        </w:trPr>
        <w:tc>
          <w:tcPr>
            <w:tcW w:w="64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864D5F7" w14:textId="77777777" w:rsidR="00320CD5" w:rsidRPr="00A826E0" w:rsidRDefault="00320CD5" w:rsidP="001148E2">
            <w:pPr>
              <w:spacing w:before="0" w:beforeAutospacing="0" w:after="0" w:afterAutospacing="0"/>
              <w:jc w:val="center"/>
              <w:rPr>
                <w:rFonts w:cs="Arial"/>
                <w:b/>
                <w:sz w:val="20"/>
                <w:szCs w:val="18"/>
              </w:rPr>
            </w:pPr>
            <w:r w:rsidRPr="00A826E0">
              <w:rPr>
                <w:rFonts w:cs="Arial"/>
                <w:b/>
                <w:sz w:val="20"/>
                <w:szCs w:val="18"/>
              </w:rPr>
              <w:lastRenderedPageBreak/>
              <w:t>1</w:t>
            </w:r>
          </w:p>
        </w:tc>
        <w:tc>
          <w:tcPr>
            <w:tcW w:w="14097"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F711894" w14:textId="1BD1E77D" w:rsidR="00320CD5" w:rsidRPr="00A826E0" w:rsidRDefault="00320CD5" w:rsidP="00A826E0">
            <w:pPr>
              <w:spacing w:before="0" w:beforeAutospacing="0" w:after="0" w:afterAutospacing="0"/>
              <w:rPr>
                <w:rFonts w:cs="Arial"/>
                <w:sz w:val="20"/>
                <w:szCs w:val="18"/>
              </w:rPr>
            </w:pPr>
            <w:r w:rsidRPr="00A826E0">
              <w:rPr>
                <w:rFonts w:cs="Arial"/>
                <w:b/>
                <w:sz w:val="20"/>
                <w:szCs w:val="18"/>
              </w:rPr>
              <w:t>Gouvernance</w:t>
            </w:r>
            <w:r w:rsidR="00814BCC">
              <w:rPr>
                <w:rFonts w:cs="Arial"/>
                <w:b/>
                <w:sz w:val="20"/>
                <w:szCs w:val="18"/>
              </w:rPr>
              <w:t xml:space="preserve"> </w:t>
            </w:r>
            <w:r w:rsidR="00814BCC" w:rsidRPr="00A826E0">
              <w:rPr>
                <w:rFonts w:cs="Arial"/>
                <w:b/>
                <w:sz w:val="20"/>
                <w:szCs w:val="18"/>
              </w:rPr>
              <w:t>et organisation </w:t>
            </w:r>
          </w:p>
        </w:tc>
      </w:tr>
      <w:tr w:rsidR="001148E2" w:rsidRPr="001148E2" w14:paraId="2F1B0D90" w14:textId="77777777" w:rsidTr="00A826E0">
        <w:trPr>
          <w:gridBefore w:val="1"/>
          <w:wBefore w:w="10" w:type="dxa"/>
          <w:trHeight w:val="960"/>
        </w:trPr>
        <w:tc>
          <w:tcPr>
            <w:tcW w:w="645" w:type="dxa"/>
            <w:gridSpan w:val="2"/>
            <w:tcBorders>
              <w:top w:val="single" w:sz="4" w:space="0" w:color="auto"/>
              <w:left w:val="single" w:sz="4" w:space="0" w:color="0070C0"/>
              <w:bottom w:val="nil"/>
              <w:right w:val="single" w:sz="4" w:space="0" w:color="0070C0"/>
            </w:tcBorders>
            <w:shd w:val="clear" w:color="000000" w:fill="DDEBF7"/>
            <w:noWrap/>
            <w:vAlign w:val="center"/>
            <w:hideMark/>
          </w:tcPr>
          <w:p w14:paraId="146AC105" w14:textId="77777777" w:rsidR="001148E2" w:rsidRPr="00A5045C" w:rsidRDefault="001148E2" w:rsidP="001148E2">
            <w:pPr>
              <w:spacing w:before="0" w:beforeAutospacing="0" w:after="0" w:afterAutospacing="0"/>
              <w:jc w:val="center"/>
              <w:rPr>
                <w:rFonts w:cs="Arial"/>
                <w:b/>
                <w:bCs/>
                <w:szCs w:val="18"/>
              </w:rPr>
            </w:pPr>
            <w:r w:rsidRPr="00A5045C">
              <w:rPr>
                <w:rFonts w:cs="Arial"/>
                <w:b/>
                <w:bCs/>
                <w:szCs w:val="18"/>
              </w:rPr>
              <w:t xml:space="preserve">1.1 </w:t>
            </w:r>
          </w:p>
        </w:tc>
        <w:tc>
          <w:tcPr>
            <w:tcW w:w="10208" w:type="dxa"/>
            <w:gridSpan w:val="2"/>
            <w:tcBorders>
              <w:top w:val="single" w:sz="4" w:space="0" w:color="auto"/>
              <w:left w:val="nil"/>
              <w:bottom w:val="nil"/>
              <w:right w:val="single" w:sz="4" w:space="0" w:color="0070C0"/>
            </w:tcBorders>
            <w:shd w:val="clear" w:color="000000" w:fill="DDEBF7"/>
            <w:noWrap/>
            <w:vAlign w:val="center"/>
            <w:hideMark/>
          </w:tcPr>
          <w:p w14:paraId="5E7B8D85" w14:textId="77777777" w:rsidR="001148E2" w:rsidRPr="00A5045C" w:rsidRDefault="001148E2" w:rsidP="001148E2">
            <w:pPr>
              <w:spacing w:before="0" w:beforeAutospacing="0" w:after="0" w:afterAutospacing="0"/>
              <w:jc w:val="both"/>
              <w:rPr>
                <w:rFonts w:cs="Arial"/>
                <w:b/>
                <w:bCs/>
                <w:szCs w:val="18"/>
              </w:rPr>
            </w:pPr>
            <w:r w:rsidRPr="00A5045C">
              <w:rPr>
                <w:rFonts w:cs="Arial"/>
                <w:b/>
                <w:bCs/>
                <w:szCs w:val="18"/>
              </w:rPr>
              <w:t>La politique de sécurité est formalisée et validée par une instance dirigeante de l’assujetti. Elle fait l’objet d’une mise à jour sur une base annuelle. Elle doit comporter des objectifs de sécurité clairement définis, une identification des risques sécuritaires pesant sur l’activité, une évaluation de leur sévérité et des mesures d’encadrement du risque adéquates.</w:t>
            </w:r>
          </w:p>
        </w:tc>
        <w:tc>
          <w:tcPr>
            <w:tcW w:w="1350" w:type="dxa"/>
            <w:gridSpan w:val="2"/>
            <w:tcBorders>
              <w:top w:val="single" w:sz="4" w:space="0" w:color="auto"/>
              <w:left w:val="nil"/>
              <w:bottom w:val="nil"/>
              <w:right w:val="single" w:sz="4" w:space="0" w:color="0070C0"/>
            </w:tcBorders>
            <w:shd w:val="clear" w:color="000000" w:fill="DDEBF7"/>
            <w:vAlign w:val="center"/>
            <w:hideMark/>
          </w:tcPr>
          <w:p w14:paraId="44F103B4" w14:textId="77777777" w:rsidR="001148E2" w:rsidRPr="00A5045C" w:rsidRDefault="001148E2" w:rsidP="001148E2">
            <w:pPr>
              <w:spacing w:before="0" w:beforeAutospacing="0" w:after="0" w:afterAutospacing="0"/>
              <w:jc w:val="center"/>
              <w:rPr>
                <w:rFonts w:cs="Arial"/>
                <w:b/>
                <w:bCs/>
                <w:szCs w:val="18"/>
              </w:rPr>
            </w:pPr>
          </w:p>
        </w:tc>
        <w:tc>
          <w:tcPr>
            <w:tcW w:w="2539" w:type="dxa"/>
            <w:tcBorders>
              <w:top w:val="single" w:sz="4" w:space="0" w:color="auto"/>
              <w:left w:val="nil"/>
              <w:bottom w:val="nil"/>
              <w:right w:val="single" w:sz="4" w:space="0" w:color="0070C0"/>
            </w:tcBorders>
            <w:shd w:val="clear" w:color="000000" w:fill="DDEBF7"/>
            <w:vAlign w:val="center"/>
            <w:hideMark/>
          </w:tcPr>
          <w:p w14:paraId="6D27E8CE" w14:textId="77777777" w:rsidR="001148E2" w:rsidRPr="00A5045C" w:rsidRDefault="001148E2" w:rsidP="001148E2">
            <w:pPr>
              <w:spacing w:before="0" w:beforeAutospacing="0" w:after="0" w:afterAutospacing="0"/>
              <w:jc w:val="center"/>
              <w:rPr>
                <w:rFonts w:cs="Arial"/>
                <w:szCs w:val="18"/>
              </w:rPr>
            </w:pPr>
            <w:r w:rsidRPr="00A5045C">
              <w:rPr>
                <w:rFonts w:cs="Arial"/>
                <w:szCs w:val="18"/>
              </w:rPr>
              <w:t> </w:t>
            </w:r>
          </w:p>
        </w:tc>
      </w:tr>
      <w:tr w:rsidR="00A5045C" w:rsidRPr="001148E2" w14:paraId="5BC66C71" w14:textId="77777777" w:rsidTr="00112CE3">
        <w:trPr>
          <w:gridBefore w:val="1"/>
          <w:wBefore w:w="10" w:type="dxa"/>
          <w:trHeight w:val="288"/>
        </w:trPr>
        <w:tc>
          <w:tcPr>
            <w:tcW w:w="645" w:type="dxa"/>
            <w:gridSpan w:val="2"/>
            <w:vMerge w:val="restart"/>
            <w:tcBorders>
              <w:top w:val="nil"/>
              <w:left w:val="single" w:sz="4" w:space="0" w:color="0070C0"/>
              <w:right w:val="single" w:sz="4" w:space="0" w:color="0070C0"/>
            </w:tcBorders>
            <w:shd w:val="clear" w:color="000000" w:fill="FFFFFF"/>
            <w:noWrap/>
            <w:vAlign w:val="center"/>
          </w:tcPr>
          <w:p w14:paraId="3BE4285A" w14:textId="77777777" w:rsidR="00A5045C" w:rsidRPr="00A5045C" w:rsidRDefault="00A5045C" w:rsidP="001148E2">
            <w:pPr>
              <w:spacing w:before="0" w:after="0"/>
              <w:jc w:val="center"/>
              <w:rPr>
                <w:rFonts w:cs="Arial"/>
                <w:szCs w:val="18"/>
              </w:rPr>
            </w:pPr>
          </w:p>
        </w:tc>
        <w:tc>
          <w:tcPr>
            <w:tcW w:w="10208" w:type="dxa"/>
            <w:gridSpan w:val="2"/>
            <w:tcBorders>
              <w:top w:val="nil"/>
              <w:left w:val="nil"/>
              <w:bottom w:val="single" w:sz="4" w:space="0" w:color="auto"/>
              <w:right w:val="single" w:sz="4" w:space="0" w:color="0070C0"/>
            </w:tcBorders>
            <w:shd w:val="clear" w:color="000000" w:fill="FFFFFF"/>
            <w:noWrap/>
            <w:vAlign w:val="center"/>
            <w:hideMark/>
          </w:tcPr>
          <w:p w14:paraId="3AECD2C5" w14:textId="77777777" w:rsidR="00A5045C" w:rsidRPr="00A5045C" w:rsidRDefault="00A5045C" w:rsidP="001148E2">
            <w:pPr>
              <w:spacing w:before="0" w:beforeAutospacing="0" w:after="0" w:afterAutospacing="0"/>
              <w:jc w:val="both"/>
              <w:rPr>
                <w:rFonts w:cs="Arial"/>
                <w:szCs w:val="18"/>
              </w:rPr>
            </w:pPr>
            <w:r w:rsidRPr="00A5045C">
              <w:rPr>
                <w:rFonts w:cs="Arial"/>
                <w:szCs w:val="18"/>
              </w:rPr>
              <w:t>L’émetteur de TSPD</w:t>
            </w:r>
            <w:r w:rsidR="00234F78">
              <w:rPr>
                <w:rFonts w:cs="Arial"/>
                <w:szCs w:val="18"/>
              </w:rPr>
              <w:t>/IPS</w:t>
            </w:r>
            <w:r w:rsidRPr="00A5045C">
              <w:rPr>
                <w:rFonts w:cs="Arial"/>
                <w:szCs w:val="18"/>
              </w:rPr>
              <w:t> :</w:t>
            </w:r>
          </w:p>
        </w:tc>
        <w:tc>
          <w:tcPr>
            <w:tcW w:w="1350" w:type="dxa"/>
            <w:gridSpan w:val="2"/>
            <w:vMerge w:val="restart"/>
            <w:tcBorders>
              <w:top w:val="nil"/>
              <w:left w:val="single" w:sz="4" w:space="0" w:color="0070C0"/>
              <w:bottom w:val="single" w:sz="4" w:space="0" w:color="0070C0"/>
              <w:right w:val="single" w:sz="4" w:space="0" w:color="0070C0"/>
            </w:tcBorders>
            <w:shd w:val="clear" w:color="000000" w:fill="FF0000"/>
            <w:vAlign w:val="center"/>
            <w:hideMark/>
          </w:tcPr>
          <w:p w14:paraId="2A5EB3BF" w14:textId="5C556C1F" w:rsidR="00A5045C" w:rsidRPr="00A5045C" w:rsidRDefault="00320CD5" w:rsidP="00112CE3">
            <w:pPr>
              <w:spacing w:before="0" w:beforeAutospacing="0" w:after="0" w:afterAutospacing="0"/>
              <w:jc w:val="center"/>
              <w:rPr>
                <w:rFonts w:cs="Arial"/>
                <w:szCs w:val="18"/>
              </w:rPr>
            </w:pPr>
            <w:r>
              <w:rPr>
                <w:rFonts w:cs="Arial"/>
                <w:szCs w:val="18"/>
              </w:rPr>
              <w:t xml:space="preserve">Choix </w:t>
            </w:r>
            <w:r w:rsidR="00112CE3">
              <w:rPr>
                <w:rFonts w:cs="Arial"/>
                <w:szCs w:val="18"/>
              </w:rPr>
              <w:t>entre 4, 3, 2 et 1</w:t>
            </w:r>
          </w:p>
        </w:tc>
        <w:tc>
          <w:tcPr>
            <w:tcW w:w="2539" w:type="dxa"/>
            <w:vMerge w:val="restart"/>
            <w:tcBorders>
              <w:top w:val="nil"/>
              <w:left w:val="single" w:sz="4" w:space="0" w:color="0070C0"/>
              <w:bottom w:val="nil"/>
              <w:right w:val="single" w:sz="4" w:space="0" w:color="0070C0"/>
            </w:tcBorders>
            <w:shd w:val="clear" w:color="auto" w:fill="FF0000"/>
            <w:vAlign w:val="center"/>
            <w:hideMark/>
          </w:tcPr>
          <w:p w14:paraId="0E227A9C" w14:textId="58ADB585" w:rsidR="00A5045C" w:rsidRPr="00A5045C" w:rsidRDefault="00611447" w:rsidP="001148E2">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w:t>
            </w:r>
            <w:r w:rsidR="001E44A6">
              <w:rPr>
                <w:rFonts w:cs="Arial"/>
                <w:color w:val="000000"/>
                <w:szCs w:val="18"/>
              </w:rPr>
              <w:t>2 000</w:t>
            </w:r>
            <w:r w:rsidR="00146FAC" w:rsidRPr="00146FAC">
              <w:rPr>
                <w:rFonts w:cs="Arial"/>
                <w:color w:val="000000"/>
                <w:szCs w:val="18"/>
              </w:rPr>
              <w:t xml:space="preserve"> caractères alphanumériques maximum</w:t>
            </w:r>
          </w:p>
        </w:tc>
      </w:tr>
      <w:tr w:rsidR="00A5045C" w:rsidRPr="001148E2" w14:paraId="5C6E6DD3" w14:textId="77777777" w:rsidTr="00112CE3">
        <w:trPr>
          <w:gridBefore w:val="1"/>
          <w:wBefore w:w="10" w:type="dxa"/>
          <w:trHeight w:val="456"/>
        </w:trPr>
        <w:tc>
          <w:tcPr>
            <w:tcW w:w="645" w:type="dxa"/>
            <w:gridSpan w:val="2"/>
            <w:vMerge/>
            <w:tcBorders>
              <w:left w:val="single" w:sz="4" w:space="0" w:color="0070C0"/>
              <w:right w:val="single" w:sz="4" w:space="0" w:color="0070C0"/>
            </w:tcBorders>
            <w:shd w:val="clear" w:color="000000" w:fill="FFFFFF"/>
            <w:noWrap/>
            <w:vAlign w:val="center"/>
            <w:hideMark/>
          </w:tcPr>
          <w:p w14:paraId="663B069C" w14:textId="77777777" w:rsidR="00A5045C" w:rsidRPr="00A5045C" w:rsidRDefault="00A5045C" w:rsidP="001148E2">
            <w:pPr>
              <w:spacing w:before="0" w:after="0"/>
              <w:jc w:val="center"/>
              <w:rPr>
                <w:rFonts w:cs="Arial"/>
                <w:szCs w:val="18"/>
              </w:rPr>
            </w:pPr>
          </w:p>
        </w:tc>
        <w:tc>
          <w:tcPr>
            <w:tcW w:w="10208" w:type="dxa"/>
            <w:gridSpan w:val="2"/>
            <w:tcBorders>
              <w:top w:val="single" w:sz="4" w:space="0" w:color="auto"/>
              <w:left w:val="nil"/>
              <w:bottom w:val="nil"/>
              <w:right w:val="single" w:sz="4" w:space="0" w:color="0070C0"/>
            </w:tcBorders>
            <w:shd w:val="clear" w:color="000000" w:fill="FFFFFF"/>
            <w:noWrap/>
            <w:vAlign w:val="center"/>
            <w:hideMark/>
          </w:tcPr>
          <w:p w14:paraId="01798D88" w14:textId="77777777" w:rsidR="00A5045C" w:rsidRPr="00A5045C" w:rsidRDefault="00A5045C" w:rsidP="001148E2">
            <w:pPr>
              <w:spacing w:before="0" w:beforeAutospacing="0" w:after="0" w:afterAutospacing="0"/>
              <w:jc w:val="both"/>
              <w:rPr>
                <w:rFonts w:cs="Arial"/>
                <w:szCs w:val="18"/>
              </w:rPr>
            </w:pPr>
            <w:r w:rsidRPr="00A5045C">
              <w:rPr>
                <w:rFonts w:cs="Arial"/>
                <w:szCs w:val="18"/>
              </w:rPr>
              <w:t>a) dispose d’une politique de sécurité formalisée relative à l’émission et la gestion de TSPD</w:t>
            </w:r>
            <w:r w:rsidR="00234F78">
              <w:rPr>
                <w:rFonts w:cs="Arial"/>
                <w:szCs w:val="18"/>
              </w:rPr>
              <w:t>/IPS</w:t>
            </w:r>
            <w:r w:rsidRPr="00A5045C">
              <w:rPr>
                <w:rFonts w:cs="Arial"/>
                <w:szCs w:val="18"/>
              </w:rPr>
              <w:t xml:space="preserve"> comprenant notamment :</w:t>
            </w:r>
          </w:p>
        </w:tc>
        <w:tc>
          <w:tcPr>
            <w:tcW w:w="1350" w:type="dxa"/>
            <w:gridSpan w:val="2"/>
            <w:vMerge/>
            <w:tcBorders>
              <w:top w:val="nil"/>
              <w:left w:val="single" w:sz="4" w:space="0" w:color="0070C0"/>
              <w:bottom w:val="single" w:sz="4" w:space="0" w:color="0070C0"/>
              <w:right w:val="single" w:sz="4" w:space="0" w:color="0070C0"/>
            </w:tcBorders>
            <w:vAlign w:val="center"/>
            <w:hideMark/>
          </w:tcPr>
          <w:p w14:paraId="2F373B60" w14:textId="77777777" w:rsidR="00A5045C" w:rsidRPr="00A5045C" w:rsidRDefault="00A5045C" w:rsidP="001148E2">
            <w:pPr>
              <w:spacing w:before="0" w:beforeAutospacing="0" w:after="0" w:afterAutospacing="0"/>
              <w:rPr>
                <w:rFonts w:cs="Arial"/>
                <w:szCs w:val="18"/>
              </w:rPr>
            </w:pPr>
          </w:p>
        </w:tc>
        <w:tc>
          <w:tcPr>
            <w:tcW w:w="2539" w:type="dxa"/>
            <w:vMerge/>
            <w:tcBorders>
              <w:top w:val="nil"/>
              <w:left w:val="single" w:sz="4" w:space="0" w:color="0070C0"/>
              <w:bottom w:val="nil"/>
              <w:right w:val="single" w:sz="4" w:space="0" w:color="0070C0"/>
            </w:tcBorders>
            <w:shd w:val="clear" w:color="auto" w:fill="FF0000"/>
            <w:vAlign w:val="center"/>
            <w:hideMark/>
          </w:tcPr>
          <w:p w14:paraId="74EDA8B7" w14:textId="77777777" w:rsidR="00A5045C" w:rsidRPr="00A5045C" w:rsidRDefault="00A5045C" w:rsidP="001148E2">
            <w:pPr>
              <w:spacing w:before="0" w:beforeAutospacing="0" w:after="0" w:afterAutospacing="0"/>
              <w:rPr>
                <w:rFonts w:cs="Arial"/>
                <w:szCs w:val="18"/>
              </w:rPr>
            </w:pPr>
          </w:p>
        </w:tc>
      </w:tr>
      <w:tr w:rsidR="00A5045C" w:rsidRPr="001148E2" w14:paraId="6E0400C2" w14:textId="77777777" w:rsidTr="006F0D8B">
        <w:trPr>
          <w:gridBefore w:val="1"/>
          <w:wBefore w:w="10" w:type="dxa"/>
          <w:trHeight w:val="456"/>
        </w:trPr>
        <w:tc>
          <w:tcPr>
            <w:tcW w:w="645" w:type="dxa"/>
            <w:gridSpan w:val="2"/>
            <w:vMerge/>
            <w:tcBorders>
              <w:left w:val="single" w:sz="4" w:space="0" w:color="0070C0"/>
              <w:right w:val="single" w:sz="4" w:space="0" w:color="0070C0"/>
            </w:tcBorders>
            <w:shd w:val="clear" w:color="000000" w:fill="FFFFFF"/>
            <w:noWrap/>
            <w:vAlign w:val="center"/>
            <w:hideMark/>
          </w:tcPr>
          <w:p w14:paraId="13782B1F" w14:textId="77777777" w:rsidR="00A5045C" w:rsidRPr="00A5045C" w:rsidRDefault="00A5045C" w:rsidP="001148E2">
            <w:pPr>
              <w:spacing w:before="0" w:after="0"/>
              <w:jc w:val="center"/>
              <w:rPr>
                <w:rFonts w:cs="Arial"/>
                <w:szCs w:val="18"/>
              </w:rPr>
            </w:pPr>
          </w:p>
        </w:tc>
        <w:tc>
          <w:tcPr>
            <w:tcW w:w="10208" w:type="dxa"/>
            <w:gridSpan w:val="2"/>
            <w:tcBorders>
              <w:top w:val="nil"/>
              <w:left w:val="nil"/>
              <w:bottom w:val="nil"/>
              <w:right w:val="single" w:sz="4" w:space="0" w:color="0070C0"/>
            </w:tcBorders>
            <w:shd w:val="clear" w:color="000000" w:fill="FFFFFF"/>
            <w:noWrap/>
            <w:vAlign w:val="center"/>
            <w:hideMark/>
          </w:tcPr>
          <w:p w14:paraId="041AF438" w14:textId="77777777" w:rsidR="00A5045C" w:rsidRPr="00A5045C" w:rsidRDefault="00A5045C" w:rsidP="001148E2">
            <w:pPr>
              <w:spacing w:before="0" w:beforeAutospacing="0" w:after="0" w:afterAutospacing="0"/>
              <w:jc w:val="both"/>
              <w:rPr>
                <w:rFonts w:cs="Arial"/>
                <w:szCs w:val="18"/>
              </w:rPr>
            </w:pPr>
            <w:r w:rsidRPr="00A5045C">
              <w:rPr>
                <w:rFonts w:cs="Arial"/>
                <w:szCs w:val="18"/>
              </w:rPr>
              <w:t xml:space="preserve">   o une définition de la sécurité  (physique et logique) du système d’information, son périmètre et ses objectifs (et notamment, la disponibilité, l'intégrité et la confidentialité du SI)</w:t>
            </w:r>
          </w:p>
        </w:tc>
        <w:tc>
          <w:tcPr>
            <w:tcW w:w="1350" w:type="dxa"/>
            <w:gridSpan w:val="2"/>
            <w:vMerge/>
            <w:tcBorders>
              <w:top w:val="nil"/>
              <w:left w:val="single" w:sz="4" w:space="0" w:color="0070C0"/>
              <w:bottom w:val="single" w:sz="4" w:space="0" w:color="0070C0"/>
              <w:right w:val="single" w:sz="4" w:space="0" w:color="0070C0"/>
            </w:tcBorders>
            <w:vAlign w:val="center"/>
            <w:hideMark/>
          </w:tcPr>
          <w:p w14:paraId="1917C56A" w14:textId="77777777" w:rsidR="00A5045C" w:rsidRPr="00A5045C" w:rsidRDefault="00A5045C" w:rsidP="001148E2">
            <w:pPr>
              <w:spacing w:before="0" w:beforeAutospacing="0" w:after="0" w:afterAutospacing="0"/>
              <w:rPr>
                <w:rFonts w:cs="Arial"/>
                <w:szCs w:val="18"/>
              </w:rPr>
            </w:pPr>
          </w:p>
        </w:tc>
        <w:tc>
          <w:tcPr>
            <w:tcW w:w="2539" w:type="dxa"/>
            <w:vMerge/>
            <w:tcBorders>
              <w:top w:val="nil"/>
              <w:left w:val="single" w:sz="4" w:space="0" w:color="0070C0"/>
              <w:bottom w:val="nil"/>
              <w:right w:val="single" w:sz="4" w:space="0" w:color="0070C0"/>
            </w:tcBorders>
            <w:shd w:val="clear" w:color="auto" w:fill="FF0000"/>
            <w:vAlign w:val="center"/>
            <w:hideMark/>
          </w:tcPr>
          <w:p w14:paraId="3FFD2868" w14:textId="77777777" w:rsidR="00A5045C" w:rsidRPr="00A5045C" w:rsidRDefault="00A5045C" w:rsidP="001148E2">
            <w:pPr>
              <w:spacing w:before="0" w:beforeAutospacing="0" w:after="0" w:afterAutospacing="0"/>
              <w:rPr>
                <w:rFonts w:cs="Arial"/>
                <w:szCs w:val="18"/>
              </w:rPr>
            </w:pPr>
          </w:p>
        </w:tc>
      </w:tr>
      <w:tr w:rsidR="00A5045C" w:rsidRPr="001148E2" w14:paraId="4EAED9CA" w14:textId="77777777" w:rsidTr="006F0D8B">
        <w:trPr>
          <w:gridBefore w:val="1"/>
          <w:wBefore w:w="10" w:type="dxa"/>
          <w:trHeight w:val="276"/>
        </w:trPr>
        <w:tc>
          <w:tcPr>
            <w:tcW w:w="645" w:type="dxa"/>
            <w:gridSpan w:val="2"/>
            <w:vMerge/>
            <w:tcBorders>
              <w:left w:val="single" w:sz="4" w:space="0" w:color="0070C0"/>
              <w:right w:val="single" w:sz="4" w:space="0" w:color="0070C0"/>
            </w:tcBorders>
            <w:shd w:val="clear" w:color="000000" w:fill="FFFFFF"/>
            <w:noWrap/>
            <w:vAlign w:val="center"/>
            <w:hideMark/>
          </w:tcPr>
          <w:p w14:paraId="2A9E10A8" w14:textId="77777777" w:rsidR="00A5045C" w:rsidRPr="00A5045C" w:rsidRDefault="00A5045C" w:rsidP="001148E2">
            <w:pPr>
              <w:spacing w:before="0" w:after="0"/>
              <w:jc w:val="center"/>
              <w:rPr>
                <w:rFonts w:cs="Arial"/>
                <w:szCs w:val="18"/>
              </w:rPr>
            </w:pPr>
          </w:p>
        </w:tc>
        <w:tc>
          <w:tcPr>
            <w:tcW w:w="10208" w:type="dxa"/>
            <w:gridSpan w:val="2"/>
            <w:tcBorders>
              <w:top w:val="nil"/>
              <w:left w:val="nil"/>
              <w:bottom w:val="nil"/>
              <w:right w:val="single" w:sz="4" w:space="0" w:color="0070C0"/>
            </w:tcBorders>
            <w:shd w:val="clear" w:color="000000" w:fill="FFFFFF"/>
            <w:noWrap/>
            <w:vAlign w:val="center"/>
            <w:hideMark/>
          </w:tcPr>
          <w:p w14:paraId="0CF1D261" w14:textId="77777777" w:rsidR="00A5045C" w:rsidRPr="00A5045C" w:rsidRDefault="00A5045C" w:rsidP="001148E2">
            <w:pPr>
              <w:spacing w:before="0" w:beforeAutospacing="0" w:after="0" w:afterAutospacing="0"/>
              <w:jc w:val="both"/>
              <w:rPr>
                <w:rFonts w:cs="Arial"/>
                <w:szCs w:val="18"/>
              </w:rPr>
            </w:pPr>
            <w:r w:rsidRPr="00A5045C">
              <w:rPr>
                <w:rFonts w:cs="Arial"/>
                <w:szCs w:val="18"/>
              </w:rPr>
              <w:t xml:space="preserve">   o  une échelle permettant la qualification du niveau de risque ;</w:t>
            </w:r>
          </w:p>
        </w:tc>
        <w:tc>
          <w:tcPr>
            <w:tcW w:w="1350" w:type="dxa"/>
            <w:gridSpan w:val="2"/>
            <w:vMerge/>
            <w:tcBorders>
              <w:top w:val="nil"/>
              <w:left w:val="single" w:sz="4" w:space="0" w:color="0070C0"/>
              <w:bottom w:val="single" w:sz="4" w:space="0" w:color="0070C0"/>
              <w:right w:val="single" w:sz="4" w:space="0" w:color="0070C0"/>
            </w:tcBorders>
            <w:vAlign w:val="center"/>
            <w:hideMark/>
          </w:tcPr>
          <w:p w14:paraId="34208272" w14:textId="77777777" w:rsidR="00A5045C" w:rsidRPr="00A5045C" w:rsidRDefault="00A5045C" w:rsidP="001148E2">
            <w:pPr>
              <w:spacing w:before="0" w:beforeAutospacing="0" w:after="0" w:afterAutospacing="0"/>
              <w:rPr>
                <w:rFonts w:cs="Arial"/>
                <w:szCs w:val="18"/>
              </w:rPr>
            </w:pPr>
          </w:p>
        </w:tc>
        <w:tc>
          <w:tcPr>
            <w:tcW w:w="2539" w:type="dxa"/>
            <w:vMerge/>
            <w:tcBorders>
              <w:top w:val="nil"/>
              <w:left w:val="single" w:sz="4" w:space="0" w:color="0070C0"/>
              <w:bottom w:val="nil"/>
              <w:right w:val="single" w:sz="4" w:space="0" w:color="0070C0"/>
            </w:tcBorders>
            <w:shd w:val="clear" w:color="auto" w:fill="FF0000"/>
            <w:vAlign w:val="center"/>
            <w:hideMark/>
          </w:tcPr>
          <w:p w14:paraId="5E391386" w14:textId="77777777" w:rsidR="00A5045C" w:rsidRPr="00A5045C" w:rsidRDefault="00A5045C" w:rsidP="001148E2">
            <w:pPr>
              <w:spacing w:before="0" w:beforeAutospacing="0" w:after="0" w:afterAutospacing="0"/>
              <w:rPr>
                <w:rFonts w:cs="Arial"/>
                <w:szCs w:val="18"/>
              </w:rPr>
            </w:pPr>
          </w:p>
        </w:tc>
      </w:tr>
      <w:tr w:rsidR="00A5045C" w:rsidRPr="001148E2" w14:paraId="1E3032CE" w14:textId="77777777" w:rsidTr="00112CE3">
        <w:trPr>
          <w:gridBefore w:val="1"/>
          <w:wBefore w:w="10" w:type="dxa"/>
          <w:trHeight w:val="456"/>
        </w:trPr>
        <w:tc>
          <w:tcPr>
            <w:tcW w:w="645" w:type="dxa"/>
            <w:gridSpan w:val="2"/>
            <w:vMerge/>
            <w:tcBorders>
              <w:left w:val="single" w:sz="4" w:space="0" w:color="0070C0"/>
              <w:right w:val="single" w:sz="4" w:space="0" w:color="0070C0"/>
            </w:tcBorders>
            <w:shd w:val="clear" w:color="000000" w:fill="FFFFFF"/>
            <w:noWrap/>
            <w:vAlign w:val="center"/>
            <w:hideMark/>
          </w:tcPr>
          <w:p w14:paraId="24E5F99E" w14:textId="77777777" w:rsidR="00A5045C" w:rsidRPr="00A5045C" w:rsidRDefault="00A5045C" w:rsidP="001148E2">
            <w:pPr>
              <w:spacing w:before="0" w:after="0"/>
              <w:jc w:val="center"/>
              <w:rPr>
                <w:rFonts w:cs="Arial"/>
                <w:szCs w:val="18"/>
              </w:rPr>
            </w:pPr>
          </w:p>
        </w:tc>
        <w:tc>
          <w:tcPr>
            <w:tcW w:w="10208" w:type="dxa"/>
            <w:gridSpan w:val="2"/>
            <w:tcBorders>
              <w:top w:val="nil"/>
              <w:left w:val="nil"/>
              <w:bottom w:val="single" w:sz="4" w:space="0" w:color="auto"/>
              <w:right w:val="single" w:sz="4" w:space="0" w:color="0070C0"/>
            </w:tcBorders>
            <w:shd w:val="clear" w:color="000000" w:fill="FFFFFF"/>
            <w:noWrap/>
            <w:vAlign w:val="center"/>
            <w:hideMark/>
          </w:tcPr>
          <w:p w14:paraId="25A5F712" w14:textId="77777777" w:rsidR="00A5045C" w:rsidRPr="00A5045C" w:rsidRDefault="00A5045C" w:rsidP="001148E2">
            <w:pPr>
              <w:spacing w:before="0" w:beforeAutospacing="0" w:after="0" w:afterAutospacing="0"/>
              <w:jc w:val="both"/>
              <w:rPr>
                <w:rFonts w:cs="Arial"/>
                <w:szCs w:val="18"/>
              </w:rPr>
            </w:pPr>
            <w:r w:rsidRPr="00A5045C">
              <w:rPr>
                <w:rFonts w:cs="Arial"/>
                <w:szCs w:val="18"/>
              </w:rPr>
              <w:t xml:space="preserve">   o  des objectifs de sécurité définis par type de données comprenant les mesures de contrôle et les critères d’évaluation du niveau de sécurité ;</w:t>
            </w:r>
          </w:p>
        </w:tc>
        <w:tc>
          <w:tcPr>
            <w:tcW w:w="1350" w:type="dxa"/>
            <w:gridSpan w:val="2"/>
            <w:vMerge/>
            <w:tcBorders>
              <w:top w:val="nil"/>
              <w:left w:val="single" w:sz="4" w:space="0" w:color="0070C0"/>
              <w:bottom w:val="single" w:sz="4" w:space="0" w:color="0070C0"/>
              <w:right w:val="single" w:sz="4" w:space="0" w:color="0070C0"/>
            </w:tcBorders>
            <w:vAlign w:val="center"/>
            <w:hideMark/>
          </w:tcPr>
          <w:p w14:paraId="6B042AC1" w14:textId="77777777" w:rsidR="00A5045C" w:rsidRPr="00A5045C" w:rsidRDefault="00A5045C" w:rsidP="001148E2">
            <w:pPr>
              <w:spacing w:before="0" w:beforeAutospacing="0" w:after="0" w:afterAutospacing="0"/>
              <w:rPr>
                <w:rFonts w:cs="Arial"/>
                <w:szCs w:val="18"/>
              </w:rPr>
            </w:pPr>
          </w:p>
        </w:tc>
        <w:tc>
          <w:tcPr>
            <w:tcW w:w="2539" w:type="dxa"/>
            <w:vMerge/>
            <w:tcBorders>
              <w:top w:val="nil"/>
              <w:left w:val="single" w:sz="4" w:space="0" w:color="0070C0"/>
              <w:bottom w:val="nil"/>
              <w:right w:val="single" w:sz="4" w:space="0" w:color="0070C0"/>
            </w:tcBorders>
            <w:shd w:val="clear" w:color="auto" w:fill="FF0000"/>
            <w:vAlign w:val="center"/>
            <w:hideMark/>
          </w:tcPr>
          <w:p w14:paraId="19E91751" w14:textId="77777777" w:rsidR="00A5045C" w:rsidRPr="00A5045C" w:rsidRDefault="00A5045C" w:rsidP="001148E2">
            <w:pPr>
              <w:spacing w:before="0" w:beforeAutospacing="0" w:after="0" w:afterAutospacing="0"/>
              <w:rPr>
                <w:rFonts w:cs="Arial"/>
                <w:szCs w:val="18"/>
              </w:rPr>
            </w:pPr>
          </w:p>
        </w:tc>
      </w:tr>
      <w:tr w:rsidR="00A5045C" w:rsidRPr="001148E2" w14:paraId="2B6CEEBD" w14:textId="77777777" w:rsidTr="00112CE3">
        <w:trPr>
          <w:gridBefore w:val="1"/>
          <w:wBefore w:w="10" w:type="dxa"/>
          <w:trHeight w:val="456"/>
        </w:trPr>
        <w:tc>
          <w:tcPr>
            <w:tcW w:w="645" w:type="dxa"/>
            <w:gridSpan w:val="2"/>
            <w:vMerge/>
            <w:tcBorders>
              <w:left w:val="single" w:sz="4" w:space="0" w:color="0070C0"/>
              <w:right w:val="single" w:sz="4" w:space="0" w:color="0070C0"/>
            </w:tcBorders>
            <w:shd w:val="clear" w:color="000000" w:fill="FFFFFF"/>
            <w:noWrap/>
            <w:vAlign w:val="center"/>
            <w:hideMark/>
          </w:tcPr>
          <w:p w14:paraId="3A19BB0A" w14:textId="77777777" w:rsidR="00A5045C" w:rsidRPr="00A5045C" w:rsidRDefault="00A5045C" w:rsidP="001148E2">
            <w:pPr>
              <w:spacing w:before="0" w:after="0"/>
              <w:jc w:val="center"/>
              <w:rPr>
                <w:rFonts w:cs="Arial"/>
                <w:szCs w:val="18"/>
              </w:rPr>
            </w:pPr>
          </w:p>
        </w:tc>
        <w:tc>
          <w:tcPr>
            <w:tcW w:w="10208" w:type="dxa"/>
            <w:gridSpan w:val="2"/>
            <w:tcBorders>
              <w:top w:val="single" w:sz="4" w:space="0" w:color="auto"/>
              <w:left w:val="nil"/>
              <w:bottom w:val="single" w:sz="4" w:space="0" w:color="auto"/>
              <w:right w:val="single" w:sz="4" w:space="0" w:color="0070C0"/>
            </w:tcBorders>
            <w:shd w:val="clear" w:color="000000" w:fill="FFFFFF"/>
            <w:noWrap/>
            <w:vAlign w:val="center"/>
            <w:hideMark/>
          </w:tcPr>
          <w:p w14:paraId="08293CF0" w14:textId="77777777" w:rsidR="00A5045C" w:rsidRPr="00A5045C" w:rsidRDefault="00A5045C" w:rsidP="001148E2">
            <w:pPr>
              <w:spacing w:before="0" w:beforeAutospacing="0" w:after="0" w:afterAutospacing="0"/>
              <w:jc w:val="both"/>
              <w:rPr>
                <w:rFonts w:cs="Arial"/>
                <w:szCs w:val="18"/>
              </w:rPr>
            </w:pPr>
            <w:r w:rsidRPr="00A5045C">
              <w:rPr>
                <w:rFonts w:cs="Arial"/>
                <w:szCs w:val="18"/>
              </w:rPr>
              <w:t>b) fait valider la politique de sécurité par l’instance dirigeante, qui nomme un responsable chargé de son application et de sa révision périodique au regard des risques identifiés ;</w:t>
            </w:r>
          </w:p>
        </w:tc>
        <w:tc>
          <w:tcPr>
            <w:tcW w:w="1350" w:type="dxa"/>
            <w:gridSpan w:val="2"/>
            <w:vMerge/>
            <w:tcBorders>
              <w:top w:val="nil"/>
              <w:left w:val="single" w:sz="4" w:space="0" w:color="0070C0"/>
              <w:bottom w:val="single" w:sz="4" w:space="0" w:color="0070C0"/>
              <w:right w:val="single" w:sz="4" w:space="0" w:color="0070C0"/>
            </w:tcBorders>
            <w:vAlign w:val="center"/>
            <w:hideMark/>
          </w:tcPr>
          <w:p w14:paraId="31136F8C" w14:textId="77777777" w:rsidR="00A5045C" w:rsidRPr="00A5045C" w:rsidRDefault="00A5045C" w:rsidP="001148E2">
            <w:pPr>
              <w:spacing w:before="0" w:beforeAutospacing="0" w:after="0" w:afterAutospacing="0"/>
              <w:rPr>
                <w:rFonts w:cs="Arial"/>
                <w:szCs w:val="18"/>
              </w:rPr>
            </w:pPr>
          </w:p>
        </w:tc>
        <w:tc>
          <w:tcPr>
            <w:tcW w:w="2539" w:type="dxa"/>
            <w:vMerge/>
            <w:tcBorders>
              <w:top w:val="nil"/>
              <w:left w:val="single" w:sz="4" w:space="0" w:color="0070C0"/>
              <w:bottom w:val="nil"/>
              <w:right w:val="single" w:sz="4" w:space="0" w:color="0070C0"/>
            </w:tcBorders>
            <w:shd w:val="clear" w:color="auto" w:fill="FF0000"/>
            <w:vAlign w:val="center"/>
            <w:hideMark/>
          </w:tcPr>
          <w:p w14:paraId="51AB15B7" w14:textId="77777777" w:rsidR="00A5045C" w:rsidRPr="00A5045C" w:rsidRDefault="00A5045C" w:rsidP="001148E2">
            <w:pPr>
              <w:spacing w:before="0" w:beforeAutospacing="0" w:after="0" w:afterAutospacing="0"/>
              <w:rPr>
                <w:rFonts w:cs="Arial"/>
                <w:szCs w:val="18"/>
              </w:rPr>
            </w:pPr>
          </w:p>
        </w:tc>
      </w:tr>
      <w:tr w:rsidR="00A5045C" w:rsidRPr="001148E2" w14:paraId="165633A9" w14:textId="77777777" w:rsidTr="00112CE3">
        <w:trPr>
          <w:gridBefore w:val="1"/>
          <w:wBefore w:w="10" w:type="dxa"/>
          <w:trHeight w:val="456"/>
        </w:trPr>
        <w:tc>
          <w:tcPr>
            <w:tcW w:w="645" w:type="dxa"/>
            <w:gridSpan w:val="2"/>
            <w:vMerge/>
            <w:tcBorders>
              <w:left w:val="single" w:sz="4" w:space="0" w:color="0070C0"/>
              <w:bottom w:val="single" w:sz="4" w:space="0" w:color="0070C0"/>
              <w:right w:val="single" w:sz="4" w:space="0" w:color="0070C0"/>
            </w:tcBorders>
            <w:shd w:val="clear" w:color="000000" w:fill="FFFFFF"/>
            <w:noWrap/>
            <w:vAlign w:val="center"/>
            <w:hideMark/>
          </w:tcPr>
          <w:p w14:paraId="0D0F99A9" w14:textId="77777777" w:rsidR="00A5045C" w:rsidRPr="00A5045C" w:rsidRDefault="00A5045C" w:rsidP="001148E2">
            <w:pPr>
              <w:spacing w:before="0" w:beforeAutospacing="0" w:after="0" w:afterAutospacing="0"/>
              <w:jc w:val="center"/>
              <w:rPr>
                <w:rFonts w:cs="Arial"/>
                <w:szCs w:val="18"/>
              </w:rPr>
            </w:pPr>
          </w:p>
        </w:tc>
        <w:tc>
          <w:tcPr>
            <w:tcW w:w="10208" w:type="dxa"/>
            <w:gridSpan w:val="2"/>
            <w:tcBorders>
              <w:top w:val="single" w:sz="4" w:space="0" w:color="auto"/>
              <w:left w:val="nil"/>
              <w:bottom w:val="single" w:sz="4" w:space="0" w:color="0070C0"/>
              <w:right w:val="single" w:sz="4" w:space="0" w:color="0070C0"/>
            </w:tcBorders>
            <w:shd w:val="clear" w:color="000000" w:fill="FFFFFF"/>
            <w:noWrap/>
            <w:vAlign w:val="center"/>
            <w:hideMark/>
          </w:tcPr>
          <w:p w14:paraId="2A86A96F" w14:textId="77777777" w:rsidR="00A5045C" w:rsidRPr="00A5045C" w:rsidRDefault="00A5045C" w:rsidP="001148E2">
            <w:pPr>
              <w:spacing w:before="0" w:beforeAutospacing="0" w:after="0" w:afterAutospacing="0"/>
              <w:jc w:val="both"/>
              <w:rPr>
                <w:rFonts w:cs="Arial"/>
                <w:szCs w:val="18"/>
              </w:rPr>
            </w:pPr>
            <w:r w:rsidRPr="00A5045C">
              <w:rPr>
                <w:rFonts w:cs="Arial"/>
                <w:szCs w:val="18"/>
              </w:rPr>
              <w:t>c) s’assure de la connaissance des règles de sécurité par tous les intervenants de la chaîne d'émission (salariés, intérimaires, prestataires….).</w:t>
            </w:r>
          </w:p>
        </w:tc>
        <w:tc>
          <w:tcPr>
            <w:tcW w:w="1350" w:type="dxa"/>
            <w:gridSpan w:val="2"/>
            <w:vMerge/>
            <w:tcBorders>
              <w:top w:val="nil"/>
              <w:left w:val="single" w:sz="4" w:space="0" w:color="0070C0"/>
              <w:bottom w:val="single" w:sz="4" w:space="0" w:color="0070C0"/>
              <w:right w:val="single" w:sz="4" w:space="0" w:color="0070C0"/>
            </w:tcBorders>
            <w:vAlign w:val="center"/>
            <w:hideMark/>
          </w:tcPr>
          <w:p w14:paraId="0B1ED447" w14:textId="77777777" w:rsidR="00A5045C" w:rsidRPr="00A5045C" w:rsidRDefault="00A5045C" w:rsidP="001148E2">
            <w:pPr>
              <w:spacing w:before="0" w:beforeAutospacing="0" w:after="0" w:afterAutospacing="0"/>
              <w:rPr>
                <w:rFonts w:cs="Arial"/>
                <w:szCs w:val="18"/>
              </w:rPr>
            </w:pPr>
          </w:p>
        </w:tc>
        <w:tc>
          <w:tcPr>
            <w:tcW w:w="2539" w:type="dxa"/>
            <w:vMerge/>
            <w:tcBorders>
              <w:top w:val="nil"/>
              <w:left w:val="single" w:sz="4" w:space="0" w:color="0070C0"/>
              <w:bottom w:val="nil"/>
              <w:right w:val="single" w:sz="4" w:space="0" w:color="0070C0"/>
            </w:tcBorders>
            <w:shd w:val="clear" w:color="auto" w:fill="FF0000"/>
            <w:vAlign w:val="center"/>
            <w:hideMark/>
          </w:tcPr>
          <w:p w14:paraId="38C2702D" w14:textId="77777777" w:rsidR="00A5045C" w:rsidRPr="00A5045C" w:rsidRDefault="00A5045C" w:rsidP="001148E2">
            <w:pPr>
              <w:spacing w:before="0" w:beforeAutospacing="0" w:after="0" w:afterAutospacing="0"/>
              <w:rPr>
                <w:rFonts w:cs="Arial"/>
                <w:szCs w:val="18"/>
              </w:rPr>
            </w:pPr>
          </w:p>
        </w:tc>
      </w:tr>
      <w:tr w:rsidR="00891C6C" w:rsidRPr="001148E2" w14:paraId="2B6C6D14" w14:textId="77777777" w:rsidTr="00CD68D9">
        <w:trPr>
          <w:gridBefore w:val="1"/>
          <w:wBefore w:w="10" w:type="dxa"/>
          <w:trHeight w:val="480"/>
        </w:trPr>
        <w:tc>
          <w:tcPr>
            <w:tcW w:w="645" w:type="dxa"/>
            <w:gridSpan w:val="2"/>
            <w:tcBorders>
              <w:top w:val="nil"/>
              <w:left w:val="single" w:sz="4" w:space="0" w:color="0070C0"/>
              <w:bottom w:val="nil"/>
              <w:right w:val="single" w:sz="4" w:space="0" w:color="0070C0"/>
            </w:tcBorders>
            <w:shd w:val="clear" w:color="000000" w:fill="DDEBF7"/>
            <w:noWrap/>
            <w:vAlign w:val="center"/>
            <w:hideMark/>
          </w:tcPr>
          <w:p w14:paraId="04088E8C" w14:textId="77777777" w:rsidR="00891C6C" w:rsidRPr="00A5045C" w:rsidRDefault="00891C6C" w:rsidP="00891C6C">
            <w:pPr>
              <w:spacing w:before="0" w:beforeAutospacing="0" w:after="0" w:afterAutospacing="0"/>
              <w:jc w:val="center"/>
              <w:rPr>
                <w:rFonts w:cs="Arial"/>
                <w:b/>
                <w:bCs/>
                <w:szCs w:val="18"/>
              </w:rPr>
            </w:pPr>
            <w:r w:rsidRPr="00A5045C">
              <w:rPr>
                <w:rFonts w:cs="Arial"/>
                <w:b/>
                <w:bCs/>
                <w:szCs w:val="18"/>
              </w:rPr>
              <w:t xml:space="preserve">1.2 </w:t>
            </w:r>
          </w:p>
        </w:tc>
        <w:tc>
          <w:tcPr>
            <w:tcW w:w="10208" w:type="dxa"/>
            <w:gridSpan w:val="2"/>
            <w:tcBorders>
              <w:top w:val="nil"/>
              <w:left w:val="nil"/>
              <w:bottom w:val="nil"/>
              <w:right w:val="single" w:sz="4" w:space="0" w:color="0070C0"/>
            </w:tcBorders>
            <w:shd w:val="clear" w:color="000000" w:fill="DDEBF7"/>
            <w:vAlign w:val="center"/>
            <w:hideMark/>
          </w:tcPr>
          <w:p w14:paraId="57515485" w14:textId="77777777" w:rsidR="00891C6C" w:rsidRPr="00A5045C" w:rsidRDefault="00891C6C" w:rsidP="00891C6C">
            <w:pPr>
              <w:spacing w:before="0" w:beforeAutospacing="0" w:after="0" w:afterAutospacing="0"/>
              <w:rPr>
                <w:rFonts w:cs="Arial"/>
                <w:b/>
                <w:bCs/>
                <w:szCs w:val="18"/>
              </w:rPr>
            </w:pPr>
            <w:r w:rsidRPr="00A5045C">
              <w:rPr>
                <w:rFonts w:cs="Arial"/>
                <w:b/>
                <w:bCs/>
                <w:szCs w:val="18"/>
              </w:rPr>
              <w:t xml:space="preserve">La politique de sécurité prévoit une fonction indépendante de gestion des risques et définit les rôles et responsabilités des acteurs du contrôle permanent et périodique de son application. </w:t>
            </w:r>
          </w:p>
        </w:tc>
        <w:tc>
          <w:tcPr>
            <w:tcW w:w="1350" w:type="dxa"/>
            <w:gridSpan w:val="2"/>
            <w:tcBorders>
              <w:top w:val="nil"/>
              <w:left w:val="nil"/>
              <w:bottom w:val="nil"/>
              <w:right w:val="single" w:sz="4" w:space="0" w:color="0070C0"/>
            </w:tcBorders>
            <w:shd w:val="clear" w:color="000000" w:fill="DDEBF7"/>
            <w:vAlign w:val="center"/>
            <w:hideMark/>
          </w:tcPr>
          <w:p w14:paraId="66244CFA" w14:textId="77777777" w:rsidR="00891C6C" w:rsidRPr="00A5045C" w:rsidRDefault="00891C6C" w:rsidP="00891C6C">
            <w:pPr>
              <w:spacing w:before="0" w:beforeAutospacing="0" w:after="0" w:afterAutospacing="0"/>
              <w:jc w:val="center"/>
              <w:rPr>
                <w:rFonts w:cs="Arial"/>
                <w:b/>
                <w:bCs/>
                <w:szCs w:val="18"/>
              </w:rPr>
            </w:pPr>
          </w:p>
        </w:tc>
        <w:tc>
          <w:tcPr>
            <w:tcW w:w="2539" w:type="dxa"/>
            <w:tcBorders>
              <w:top w:val="nil"/>
              <w:left w:val="nil"/>
              <w:bottom w:val="nil"/>
              <w:right w:val="single" w:sz="4" w:space="0" w:color="0070C0"/>
            </w:tcBorders>
            <w:shd w:val="clear" w:color="000000" w:fill="DDEBF7"/>
            <w:vAlign w:val="center"/>
            <w:hideMark/>
          </w:tcPr>
          <w:p w14:paraId="19AA0AC8" w14:textId="68728BB1" w:rsidR="00891C6C" w:rsidRPr="00A5045C" w:rsidRDefault="00891C6C" w:rsidP="00891C6C">
            <w:pPr>
              <w:spacing w:before="0" w:beforeAutospacing="0" w:after="0" w:afterAutospacing="0"/>
              <w:jc w:val="center"/>
              <w:rPr>
                <w:rFonts w:cs="Arial"/>
                <w:szCs w:val="18"/>
              </w:rPr>
            </w:pPr>
          </w:p>
        </w:tc>
      </w:tr>
      <w:tr w:rsidR="00112CE3" w:rsidRPr="001148E2" w14:paraId="00A406A0" w14:textId="77777777" w:rsidTr="006F0D8B">
        <w:trPr>
          <w:gridBefore w:val="1"/>
          <w:wBefore w:w="10" w:type="dxa"/>
          <w:trHeight w:val="288"/>
        </w:trPr>
        <w:tc>
          <w:tcPr>
            <w:tcW w:w="645" w:type="dxa"/>
            <w:gridSpan w:val="2"/>
            <w:vMerge w:val="restart"/>
            <w:tcBorders>
              <w:top w:val="nil"/>
              <w:left w:val="single" w:sz="4" w:space="0" w:color="0070C0"/>
              <w:right w:val="single" w:sz="4" w:space="0" w:color="0070C0"/>
            </w:tcBorders>
            <w:shd w:val="clear" w:color="000000" w:fill="FFFFFF"/>
            <w:noWrap/>
            <w:vAlign w:val="center"/>
          </w:tcPr>
          <w:p w14:paraId="79A16A9C" w14:textId="77777777" w:rsidR="00112CE3" w:rsidRPr="00A5045C" w:rsidRDefault="00112CE3" w:rsidP="00112CE3">
            <w:pPr>
              <w:spacing w:before="0" w:after="0"/>
              <w:jc w:val="center"/>
              <w:rPr>
                <w:rFonts w:cs="Arial"/>
                <w:szCs w:val="18"/>
              </w:rPr>
            </w:pPr>
          </w:p>
        </w:tc>
        <w:tc>
          <w:tcPr>
            <w:tcW w:w="10208" w:type="dxa"/>
            <w:gridSpan w:val="2"/>
            <w:tcBorders>
              <w:top w:val="nil"/>
              <w:left w:val="nil"/>
              <w:bottom w:val="nil"/>
              <w:right w:val="single" w:sz="4" w:space="0" w:color="0070C0"/>
            </w:tcBorders>
            <w:shd w:val="clear" w:color="000000" w:fill="FFFFFF"/>
            <w:noWrap/>
            <w:vAlign w:val="center"/>
            <w:hideMark/>
          </w:tcPr>
          <w:p w14:paraId="4083D46A" w14:textId="77777777" w:rsidR="00112CE3" w:rsidRPr="00A5045C" w:rsidRDefault="00112CE3" w:rsidP="00112CE3">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w:t>
            </w:r>
          </w:p>
        </w:tc>
        <w:tc>
          <w:tcPr>
            <w:tcW w:w="1350" w:type="dxa"/>
            <w:gridSpan w:val="2"/>
            <w:vMerge w:val="restart"/>
            <w:tcBorders>
              <w:top w:val="nil"/>
              <w:left w:val="single" w:sz="4" w:space="0" w:color="0070C0"/>
              <w:bottom w:val="single" w:sz="4" w:space="0" w:color="0070C0"/>
              <w:right w:val="single" w:sz="4" w:space="0" w:color="0070C0"/>
            </w:tcBorders>
            <w:shd w:val="clear" w:color="000000" w:fill="FF0000"/>
            <w:vAlign w:val="center"/>
            <w:hideMark/>
          </w:tcPr>
          <w:p w14:paraId="1C78B629" w14:textId="04BBC204"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39" w:type="dxa"/>
            <w:vMerge w:val="restart"/>
            <w:tcBorders>
              <w:top w:val="nil"/>
              <w:left w:val="single" w:sz="4" w:space="0" w:color="0070C0"/>
              <w:bottom w:val="nil"/>
              <w:right w:val="single" w:sz="4" w:space="0" w:color="0070C0"/>
            </w:tcBorders>
            <w:shd w:val="clear" w:color="auto" w:fill="FF0000"/>
            <w:vAlign w:val="center"/>
            <w:hideMark/>
          </w:tcPr>
          <w:p w14:paraId="5DF0F997" w14:textId="4A30E6B2" w:rsidR="00112CE3" w:rsidRPr="00A5045C" w:rsidRDefault="00112CE3" w:rsidP="00112CE3">
            <w:pPr>
              <w:spacing w:before="0" w:beforeAutospacing="0" w:after="0" w:afterAutospacing="0"/>
              <w:jc w:val="center"/>
              <w:rPr>
                <w:rFonts w:cs="Arial"/>
                <w:szCs w:val="18"/>
              </w:rPr>
            </w:pPr>
            <w:r>
              <w:rPr>
                <w:rFonts w:cs="Arial"/>
                <w:color w:val="000000"/>
                <w:szCs w:val="18"/>
              </w:rPr>
              <w:t xml:space="preserve">500 caractères </w:t>
            </w:r>
            <w:r w:rsidR="00D271EB" w:rsidRPr="00146FA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A5045C" w:rsidRPr="001148E2" w14:paraId="1F997C52" w14:textId="77777777" w:rsidTr="00112CE3">
        <w:trPr>
          <w:gridBefore w:val="1"/>
          <w:wBefore w:w="10" w:type="dxa"/>
          <w:trHeight w:val="456"/>
        </w:trPr>
        <w:tc>
          <w:tcPr>
            <w:tcW w:w="645" w:type="dxa"/>
            <w:gridSpan w:val="2"/>
            <w:vMerge/>
            <w:tcBorders>
              <w:left w:val="single" w:sz="4" w:space="0" w:color="0070C0"/>
              <w:right w:val="single" w:sz="4" w:space="0" w:color="0070C0"/>
            </w:tcBorders>
            <w:shd w:val="clear" w:color="000000" w:fill="FFFFFF"/>
            <w:noWrap/>
            <w:vAlign w:val="center"/>
            <w:hideMark/>
          </w:tcPr>
          <w:p w14:paraId="2F9EE9C3" w14:textId="77777777" w:rsidR="00A5045C" w:rsidRPr="00A5045C" w:rsidRDefault="00A5045C" w:rsidP="001148E2">
            <w:pPr>
              <w:spacing w:before="0" w:after="0"/>
              <w:jc w:val="center"/>
              <w:rPr>
                <w:rFonts w:cs="Arial"/>
                <w:szCs w:val="18"/>
              </w:rPr>
            </w:pPr>
          </w:p>
        </w:tc>
        <w:tc>
          <w:tcPr>
            <w:tcW w:w="10208" w:type="dxa"/>
            <w:gridSpan w:val="2"/>
            <w:tcBorders>
              <w:top w:val="nil"/>
              <w:left w:val="nil"/>
              <w:bottom w:val="single" w:sz="4" w:space="0" w:color="auto"/>
              <w:right w:val="single" w:sz="4" w:space="0" w:color="0070C0"/>
            </w:tcBorders>
            <w:shd w:val="clear" w:color="000000" w:fill="FFFFFF"/>
            <w:noWrap/>
            <w:vAlign w:val="center"/>
            <w:hideMark/>
          </w:tcPr>
          <w:p w14:paraId="7E7ABC2C" w14:textId="77777777" w:rsidR="00A5045C" w:rsidRPr="00A5045C" w:rsidRDefault="00A5045C" w:rsidP="001148E2">
            <w:pPr>
              <w:spacing w:before="0" w:beforeAutospacing="0" w:after="0" w:afterAutospacing="0"/>
              <w:jc w:val="both"/>
              <w:rPr>
                <w:rFonts w:cs="Arial"/>
                <w:szCs w:val="18"/>
              </w:rPr>
            </w:pPr>
            <w:r w:rsidRPr="00A5045C">
              <w:rPr>
                <w:rFonts w:cs="Arial"/>
                <w:szCs w:val="18"/>
              </w:rPr>
              <w:t>a) dispose d’une fonction indépendante de contrôle permanent et alloue les moyens nécessaires à l’exercice du contrôle ;</w:t>
            </w:r>
          </w:p>
        </w:tc>
        <w:tc>
          <w:tcPr>
            <w:tcW w:w="1350" w:type="dxa"/>
            <w:gridSpan w:val="2"/>
            <w:vMerge/>
            <w:tcBorders>
              <w:top w:val="nil"/>
              <w:left w:val="single" w:sz="4" w:space="0" w:color="0070C0"/>
              <w:bottom w:val="single" w:sz="4" w:space="0" w:color="0070C0"/>
              <w:right w:val="single" w:sz="4" w:space="0" w:color="0070C0"/>
            </w:tcBorders>
            <w:vAlign w:val="center"/>
            <w:hideMark/>
          </w:tcPr>
          <w:p w14:paraId="4591E3A0" w14:textId="77777777" w:rsidR="00A5045C" w:rsidRPr="00A5045C" w:rsidRDefault="00A5045C" w:rsidP="001148E2">
            <w:pPr>
              <w:spacing w:before="0" w:beforeAutospacing="0" w:after="0" w:afterAutospacing="0"/>
              <w:rPr>
                <w:rFonts w:cs="Arial"/>
                <w:szCs w:val="18"/>
              </w:rPr>
            </w:pPr>
          </w:p>
        </w:tc>
        <w:tc>
          <w:tcPr>
            <w:tcW w:w="2539" w:type="dxa"/>
            <w:vMerge/>
            <w:tcBorders>
              <w:top w:val="nil"/>
              <w:left w:val="single" w:sz="4" w:space="0" w:color="0070C0"/>
              <w:bottom w:val="nil"/>
              <w:right w:val="single" w:sz="4" w:space="0" w:color="0070C0"/>
            </w:tcBorders>
            <w:shd w:val="clear" w:color="auto" w:fill="FF0000"/>
            <w:vAlign w:val="center"/>
            <w:hideMark/>
          </w:tcPr>
          <w:p w14:paraId="08D6481F" w14:textId="77777777" w:rsidR="00A5045C" w:rsidRPr="00A5045C" w:rsidRDefault="00A5045C" w:rsidP="001148E2">
            <w:pPr>
              <w:spacing w:before="0" w:beforeAutospacing="0" w:after="0" w:afterAutospacing="0"/>
              <w:rPr>
                <w:rFonts w:cs="Arial"/>
                <w:szCs w:val="18"/>
              </w:rPr>
            </w:pPr>
          </w:p>
        </w:tc>
      </w:tr>
      <w:tr w:rsidR="00A5045C" w:rsidRPr="001148E2" w14:paraId="26E78480" w14:textId="77777777" w:rsidTr="00112CE3">
        <w:trPr>
          <w:gridBefore w:val="1"/>
          <w:wBefore w:w="10" w:type="dxa"/>
          <w:trHeight w:val="1368"/>
        </w:trPr>
        <w:tc>
          <w:tcPr>
            <w:tcW w:w="645" w:type="dxa"/>
            <w:gridSpan w:val="2"/>
            <w:vMerge/>
            <w:tcBorders>
              <w:left w:val="single" w:sz="4" w:space="0" w:color="0070C0"/>
              <w:right w:val="single" w:sz="4" w:space="0" w:color="0070C0"/>
            </w:tcBorders>
            <w:shd w:val="clear" w:color="000000" w:fill="FFFFFF"/>
            <w:noWrap/>
            <w:vAlign w:val="center"/>
            <w:hideMark/>
          </w:tcPr>
          <w:p w14:paraId="5E430BF6" w14:textId="77777777" w:rsidR="00A5045C" w:rsidRPr="00A5045C" w:rsidRDefault="00A5045C" w:rsidP="001148E2">
            <w:pPr>
              <w:spacing w:before="0" w:after="0"/>
              <w:jc w:val="center"/>
              <w:rPr>
                <w:rFonts w:cs="Arial"/>
                <w:szCs w:val="18"/>
              </w:rPr>
            </w:pPr>
          </w:p>
        </w:tc>
        <w:tc>
          <w:tcPr>
            <w:tcW w:w="10208" w:type="dxa"/>
            <w:gridSpan w:val="2"/>
            <w:tcBorders>
              <w:top w:val="single" w:sz="4" w:space="0" w:color="auto"/>
              <w:left w:val="nil"/>
              <w:bottom w:val="single" w:sz="4" w:space="0" w:color="auto"/>
              <w:right w:val="single" w:sz="4" w:space="0" w:color="0070C0"/>
            </w:tcBorders>
            <w:shd w:val="clear" w:color="000000" w:fill="FFFFFF"/>
            <w:noWrap/>
            <w:vAlign w:val="center"/>
            <w:hideMark/>
          </w:tcPr>
          <w:p w14:paraId="4D2EC2B8" w14:textId="77777777" w:rsidR="00A5045C" w:rsidRPr="00A5045C" w:rsidRDefault="00A5045C" w:rsidP="001148E2">
            <w:pPr>
              <w:spacing w:before="0" w:beforeAutospacing="0" w:after="0" w:afterAutospacing="0"/>
              <w:jc w:val="both"/>
              <w:rPr>
                <w:rFonts w:cs="Arial"/>
                <w:szCs w:val="18"/>
              </w:rPr>
            </w:pPr>
            <w:r w:rsidRPr="00A5045C">
              <w:rPr>
                <w:rFonts w:cs="Arial"/>
                <w:szCs w:val="18"/>
              </w:rPr>
              <w:t>b) dispose d'une fonction de contrôle périodique et se charge de veiller au respect des procédures et au caractère approprié des dispositifs de contrôle permanent. Lorsque la taille de l'entreprise ne justifie pas de confier les responsabilités du contrôle permanent et du contrôle périodique à des personnes différentes, ces responsabilités peuvent être confiées soit à une seule personne, soit à l'organe exécutif qui assure, sous le contrôle de l'organe délibérant, la coordination de tous les dispositifs qui concourent à l'exercice de cette mission;</w:t>
            </w:r>
          </w:p>
        </w:tc>
        <w:tc>
          <w:tcPr>
            <w:tcW w:w="1350" w:type="dxa"/>
            <w:gridSpan w:val="2"/>
            <w:vMerge/>
            <w:tcBorders>
              <w:top w:val="nil"/>
              <w:left w:val="single" w:sz="4" w:space="0" w:color="0070C0"/>
              <w:bottom w:val="single" w:sz="4" w:space="0" w:color="0070C0"/>
              <w:right w:val="single" w:sz="4" w:space="0" w:color="0070C0"/>
            </w:tcBorders>
            <w:vAlign w:val="center"/>
            <w:hideMark/>
          </w:tcPr>
          <w:p w14:paraId="15F0EB55" w14:textId="77777777" w:rsidR="00A5045C" w:rsidRPr="00A5045C" w:rsidRDefault="00A5045C" w:rsidP="001148E2">
            <w:pPr>
              <w:spacing w:before="0" w:beforeAutospacing="0" w:after="0" w:afterAutospacing="0"/>
              <w:rPr>
                <w:rFonts w:cs="Arial"/>
                <w:szCs w:val="18"/>
              </w:rPr>
            </w:pPr>
          </w:p>
        </w:tc>
        <w:tc>
          <w:tcPr>
            <w:tcW w:w="2539" w:type="dxa"/>
            <w:vMerge/>
            <w:tcBorders>
              <w:top w:val="nil"/>
              <w:left w:val="single" w:sz="4" w:space="0" w:color="0070C0"/>
              <w:bottom w:val="nil"/>
              <w:right w:val="single" w:sz="4" w:space="0" w:color="0070C0"/>
            </w:tcBorders>
            <w:shd w:val="clear" w:color="auto" w:fill="FF0000"/>
            <w:vAlign w:val="center"/>
            <w:hideMark/>
          </w:tcPr>
          <w:p w14:paraId="5680D13A" w14:textId="77777777" w:rsidR="00A5045C" w:rsidRPr="00A5045C" w:rsidRDefault="00A5045C" w:rsidP="001148E2">
            <w:pPr>
              <w:spacing w:before="0" w:beforeAutospacing="0" w:after="0" w:afterAutospacing="0"/>
              <w:rPr>
                <w:rFonts w:cs="Arial"/>
                <w:szCs w:val="18"/>
              </w:rPr>
            </w:pPr>
          </w:p>
        </w:tc>
      </w:tr>
      <w:tr w:rsidR="00A5045C" w:rsidRPr="001148E2" w14:paraId="0A2EFBFF" w14:textId="77777777" w:rsidTr="00112CE3">
        <w:trPr>
          <w:gridBefore w:val="1"/>
          <w:wBefore w:w="10" w:type="dxa"/>
          <w:trHeight w:val="456"/>
        </w:trPr>
        <w:tc>
          <w:tcPr>
            <w:tcW w:w="645" w:type="dxa"/>
            <w:gridSpan w:val="2"/>
            <w:vMerge/>
            <w:tcBorders>
              <w:left w:val="single" w:sz="4" w:space="0" w:color="0070C0"/>
              <w:right w:val="single" w:sz="4" w:space="0" w:color="0070C0"/>
            </w:tcBorders>
            <w:shd w:val="clear" w:color="000000" w:fill="FFFFFF"/>
            <w:noWrap/>
            <w:vAlign w:val="center"/>
            <w:hideMark/>
          </w:tcPr>
          <w:p w14:paraId="1AD2E198" w14:textId="77777777" w:rsidR="00A5045C" w:rsidRPr="00A5045C" w:rsidRDefault="00A5045C" w:rsidP="001148E2">
            <w:pPr>
              <w:spacing w:before="0" w:after="0"/>
              <w:jc w:val="center"/>
              <w:rPr>
                <w:rFonts w:cs="Arial"/>
                <w:szCs w:val="18"/>
              </w:rPr>
            </w:pPr>
          </w:p>
        </w:tc>
        <w:tc>
          <w:tcPr>
            <w:tcW w:w="10208" w:type="dxa"/>
            <w:gridSpan w:val="2"/>
            <w:tcBorders>
              <w:top w:val="single" w:sz="4" w:space="0" w:color="auto"/>
              <w:left w:val="nil"/>
              <w:bottom w:val="single" w:sz="4" w:space="0" w:color="auto"/>
              <w:right w:val="single" w:sz="4" w:space="0" w:color="0070C0"/>
            </w:tcBorders>
            <w:shd w:val="clear" w:color="000000" w:fill="FFFFFF"/>
            <w:noWrap/>
            <w:vAlign w:val="center"/>
            <w:hideMark/>
          </w:tcPr>
          <w:p w14:paraId="27253573" w14:textId="77777777" w:rsidR="00A5045C" w:rsidRPr="00A5045C" w:rsidRDefault="00A5045C" w:rsidP="001148E2">
            <w:pPr>
              <w:spacing w:before="0" w:beforeAutospacing="0" w:after="0" w:afterAutospacing="0"/>
              <w:jc w:val="both"/>
              <w:rPr>
                <w:rFonts w:cs="Arial"/>
                <w:szCs w:val="18"/>
              </w:rPr>
            </w:pPr>
            <w:r w:rsidRPr="00A5045C">
              <w:rPr>
                <w:rFonts w:cs="Arial"/>
                <w:szCs w:val="18"/>
              </w:rPr>
              <w:t>c) dispose d’une charte de la fonction d’audit formalisée par la direction générale encadrant les conditions de réalisation des missions de contrôle ;</w:t>
            </w:r>
          </w:p>
        </w:tc>
        <w:tc>
          <w:tcPr>
            <w:tcW w:w="1350" w:type="dxa"/>
            <w:gridSpan w:val="2"/>
            <w:vMerge/>
            <w:tcBorders>
              <w:top w:val="nil"/>
              <w:left w:val="single" w:sz="4" w:space="0" w:color="0070C0"/>
              <w:bottom w:val="single" w:sz="4" w:space="0" w:color="0070C0"/>
              <w:right w:val="single" w:sz="4" w:space="0" w:color="0070C0"/>
            </w:tcBorders>
            <w:vAlign w:val="center"/>
            <w:hideMark/>
          </w:tcPr>
          <w:p w14:paraId="59803D37" w14:textId="77777777" w:rsidR="00A5045C" w:rsidRPr="00A5045C" w:rsidRDefault="00A5045C" w:rsidP="001148E2">
            <w:pPr>
              <w:spacing w:before="0" w:beforeAutospacing="0" w:after="0" w:afterAutospacing="0"/>
              <w:rPr>
                <w:rFonts w:cs="Arial"/>
                <w:szCs w:val="18"/>
              </w:rPr>
            </w:pPr>
          </w:p>
        </w:tc>
        <w:tc>
          <w:tcPr>
            <w:tcW w:w="2539" w:type="dxa"/>
            <w:vMerge/>
            <w:tcBorders>
              <w:top w:val="nil"/>
              <w:left w:val="single" w:sz="4" w:space="0" w:color="0070C0"/>
              <w:bottom w:val="nil"/>
              <w:right w:val="single" w:sz="4" w:space="0" w:color="0070C0"/>
            </w:tcBorders>
            <w:shd w:val="clear" w:color="auto" w:fill="FF0000"/>
            <w:vAlign w:val="center"/>
            <w:hideMark/>
          </w:tcPr>
          <w:p w14:paraId="27B948EA" w14:textId="77777777" w:rsidR="00A5045C" w:rsidRPr="00A5045C" w:rsidRDefault="00A5045C" w:rsidP="001148E2">
            <w:pPr>
              <w:spacing w:before="0" w:beforeAutospacing="0" w:after="0" w:afterAutospacing="0"/>
              <w:rPr>
                <w:rFonts w:cs="Arial"/>
                <w:szCs w:val="18"/>
              </w:rPr>
            </w:pPr>
          </w:p>
        </w:tc>
      </w:tr>
      <w:tr w:rsidR="00A5045C" w:rsidRPr="001148E2" w14:paraId="037018F1" w14:textId="77777777" w:rsidTr="007165F7">
        <w:trPr>
          <w:gridBefore w:val="1"/>
          <w:wBefore w:w="10" w:type="dxa"/>
          <w:trHeight w:val="684"/>
        </w:trPr>
        <w:tc>
          <w:tcPr>
            <w:tcW w:w="645" w:type="dxa"/>
            <w:gridSpan w:val="2"/>
            <w:vMerge/>
            <w:tcBorders>
              <w:left w:val="single" w:sz="4" w:space="0" w:color="0070C0"/>
              <w:right w:val="single" w:sz="4" w:space="0" w:color="0070C0"/>
            </w:tcBorders>
            <w:shd w:val="clear" w:color="000000" w:fill="FFFFFF"/>
            <w:noWrap/>
            <w:vAlign w:val="center"/>
            <w:hideMark/>
          </w:tcPr>
          <w:p w14:paraId="478627F3" w14:textId="77777777" w:rsidR="00A5045C" w:rsidRPr="00A5045C" w:rsidRDefault="00A5045C" w:rsidP="001148E2">
            <w:pPr>
              <w:spacing w:before="0" w:after="0"/>
              <w:jc w:val="center"/>
              <w:rPr>
                <w:rFonts w:cs="Arial"/>
                <w:szCs w:val="18"/>
              </w:rPr>
            </w:pPr>
          </w:p>
        </w:tc>
        <w:tc>
          <w:tcPr>
            <w:tcW w:w="10208" w:type="dxa"/>
            <w:gridSpan w:val="2"/>
            <w:tcBorders>
              <w:top w:val="single" w:sz="4" w:space="0" w:color="auto"/>
              <w:left w:val="nil"/>
              <w:bottom w:val="single" w:sz="4" w:space="0" w:color="auto"/>
              <w:right w:val="single" w:sz="4" w:space="0" w:color="0070C0"/>
            </w:tcBorders>
            <w:shd w:val="clear" w:color="000000" w:fill="FFFFFF"/>
            <w:noWrap/>
            <w:vAlign w:val="center"/>
            <w:hideMark/>
          </w:tcPr>
          <w:p w14:paraId="00B7659B" w14:textId="77777777" w:rsidR="00A5045C" w:rsidRPr="00A5045C" w:rsidRDefault="00A5045C" w:rsidP="001148E2">
            <w:pPr>
              <w:spacing w:before="0" w:beforeAutospacing="0" w:after="0" w:afterAutospacing="0"/>
              <w:jc w:val="both"/>
              <w:rPr>
                <w:rFonts w:cs="Arial"/>
                <w:szCs w:val="18"/>
              </w:rPr>
            </w:pPr>
            <w:r w:rsidRPr="00A5045C">
              <w:rPr>
                <w:rFonts w:cs="Arial"/>
                <w:szCs w:val="18"/>
              </w:rPr>
              <w:t>d) dispose d’une procédure pour les missions de contrôle qui précise notamment qu’elles donnent lieu à l’établissement de rapports remis à la direction générale et qui font l’objet d’un plan d’action par les directions opérationnelles ;</w:t>
            </w:r>
          </w:p>
        </w:tc>
        <w:tc>
          <w:tcPr>
            <w:tcW w:w="1350" w:type="dxa"/>
            <w:gridSpan w:val="2"/>
            <w:vMerge/>
            <w:tcBorders>
              <w:top w:val="nil"/>
              <w:left w:val="single" w:sz="4" w:space="0" w:color="0070C0"/>
              <w:bottom w:val="single" w:sz="4" w:space="0" w:color="0070C0"/>
              <w:right w:val="single" w:sz="4" w:space="0" w:color="0070C0"/>
            </w:tcBorders>
            <w:vAlign w:val="center"/>
            <w:hideMark/>
          </w:tcPr>
          <w:p w14:paraId="16C193FF" w14:textId="77777777" w:rsidR="00A5045C" w:rsidRPr="00A5045C" w:rsidRDefault="00A5045C" w:rsidP="001148E2">
            <w:pPr>
              <w:spacing w:before="0" w:beforeAutospacing="0" w:after="0" w:afterAutospacing="0"/>
              <w:rPr>
                <w:rFonts w:cs="Arial"/>
                <w:szCs w:val="18"/>
              </w:rPr>
            </w:pPr>
          </w:p>
        </w:tc>
        <w:tc>
          <w:tcPr>
            <w:tcW w:w="2539" w:type="dxa"/>
            <w:vMerge/>
            <w:tcBorders>
              <w:top w:val="nil"/>
              <w:left w:val="single" w:sz="4" w:space="0" w:color="0070C0"/>
              <w:bottom w:val="nil"/>
              <w:right w:val="single" w:sz="4" w:space="0" w:color="0070C0"/>
            </w:tcBorders>
            <w:vAlign w:val="center"/>
            <w:hideMark/>
          </w:tcPr>
          <w:p w14:paraId="1B576951" w14:textId="77777777" w:rsidR="00A5045C" w:rsidRPr="00A5045C" w:rsidRDefault="00A5045C" w:rsidP="001148E2">
            <w:pPr>
              <w:spacing w:before="0" w:beforeAutospacing="0" w:after="0" w:afterAutospacing="0"/>
              <w:rPr>
                <w:rFonts w:cs="Arial"/>
                <w:szCs w:val="18"/>
              </w:rPr>
            </w:pPr>
          </w:p>
        </w:tc>
      </w:tr>
      <w:tr w:rsidR="00A5045C" w:rsidRPr="001148E2" w14:paraId="633BB2F1" w14:textId="77777777" w:rsidTr="007165F7">
        <w:trPr>
          <w:gridBefore w:val="1"/>
          <w:wBefore w:w="10" w:type="dxa"/>
          <w:trHeight w:val="276"/>
        </w:trPr>
        <w:tc>
          <w:tcPr>
            <w:tcW w:w="645" w:type="dxa"/>
            <w:gridSpan w:val="2"/>
            <w:vMerge/>
            <w:tcBorders>
              <w:left w:val="single" w:sz="4" w:space="0" w:color="0070C0"/>
              <w:bottom w:val="single" w:sz="4" w:space="0" w:color="0070C0"/>
              <w:right w:val="single" w:sz="4" w:space="0" w:color="0070C0"/>
            </w:tcBorders>
            <w:shd w:val="clear" w:color="000000" w:fill="FFFFFF"/>
            <w:noWrap/>
            <w:vAlign w:val="center"/>
            <w:hideMark/>
          </w:tcPr>
          <w:p w14:paraId="7E797C79" w14:textId="77777777" w:rsidR="00A5045C" w:rsidRPr="00A5045C" w:rsidRDefault="00A5045C" w:rsidP="001148E2">
            <w:pPr>
              <w:spacing w:before="0" w:beforeAutospacing="0" w:after="0" w:afterAutospacing="0"/>
              <w:jc w:val="center"/>
              <w:rPr>
                <w:rFonts w:cs="Arial"/>
                <w:szCs w:val="18"/>
              </w:rPr>
            </w:pPr>
          </w:p>
        </w:tc>
        <w:tc>
          <w:tcPr>
            <w:tcW w:w="10208" w:type="dxa"/>
            <w:gridSpan w:val="2"/>
            <w:tcBorders>
              <w:top w:val="single" w:sz="4" w:space="0" w:color="auto"/>
              <w:left w:val="nil"/>
              <w:bottom w:val="single" w:sz="4" w:space="0" w:color="0070C0"/>
              <w:right w:val="single" w:sz="4" w:space="0" w:color="0070C0"/>
            </w:tcBorders>
            <w:shd w:val="clear" w:color="000000" w:fill="FFFFFF"/>
            <w:noWrap/>
            <w:vAlign w:val="center"/>
            <w:hideMark/>
          </w:tcPr>
          <w:p w14:paraId="15A928E1" w14:textId="77777777" w:rsidR="00A5045C" w:rsidRPr="00A5045C" w:rsidRDefault="00A5045C" w:rsidP="001148E2">
            <w:pPr>
              <w:spacing w:before="0" w:beforeAutospacing="0" w:after="0" w:afterAutospacing="0"/>
              <w:jc w:val="both"/>
              <w:rPr>
                <w:rFonts w:cs="Arial"/>
                <w:szCs w:val="18"/>
              </w:rPr>
            </w:pPr>
            <w:r w:rsidRPr="00A5045C">
              <w:rPr>
                <w:rFonts w:cs="Arial"/>
                <w:szCs w:val="18"/>
              </w:rPr>
              <w:t>e) s’assure que le responsable de la sécurité n’exerce pas d’activité opérationnelle au sein de l’entreprise.</w:t>
            </w:r>
          </w:p>
        </w:tc>
        <w:tc>
          <w:tcPr>
            <w:tcW w:w="1350" w:type="dxa"/>
            <w:gridSpan w:val="2"/>
            <w:vMerge/>
            <w:tcBorders>
              <w:top w:val="nil"/>
              <w:left w:val="single" w:sz="4" w:space="0" w:color="0070C0"/>
              <w:bottom w:val="single" w:sz="4" w:space="0" w:color="0070C0"/>
              <w:right w:val="single" w:sz="4" w:space="0" w:color="0070C0"/>
            </w:tcBorders>
            <w:vAlign w:val="center"/>
            <w:hideMark/>
          </w:tcPr>
          <w:p w14:paraId="159205CD" w14:textId="77777777" w:rsidR="00A5045C" w:rsidRPr="00A5045C" w:rsidRDefault="00A5045C" w:rsidP="001148E2">
            <w:pPr>
              <w:spacing w:before="0" w:beforeAutospacing="0" w:after="0" w:afterAutospacing="0"/>
              <w:rPr>
                <w:rFonts w:cs="Arial"/>
                <w:szCs w:val="18"/>
              </w:rPr>
            </w:pPr>
          </w:p>
        </w:tc>
        <w:tc>
          <w:tcPr>
            <w:tcW w:w="2539" w:type="dxa"/>
            <w:vMerge/>
            <w:tcBorders>
              <w:top w:val="nil"/>
              <w:left w:val="single" w:sz="4" w:space="0" w:color="0070C0"/>
              <w:bottom w:val="nil"/>
              <w:right w:val="single" w:sz="4" w:space="0" w:color="0070C0"/>
            </w:tcBorders>
            <w:vAlign w:val="center"/>
            <w:hideMark/>
          </w:tcPr>
          <w:p w14:paraId="1DF53695" w14:textId="77777777" w:rsidR="00A5045C" w:rsidRPr="00A5045C" w:rsidRDefault="00A5045C" w:rsidP="001148E2">
            <w:pPr>
              <w:spacing w:before="0" w:beforeAutospacing="0" w:after="0" w:afterAutospacing="0"/>
              <w:rPr>
                <w:rFonts w:cs="Arial"/>
                <w:szCs w:val="18"/>
              </w:rPr>
            </w:pPr>
          </w:p>
        </w:tc>
      </w:tr>
      <w:tr w:rsidR="00320CD5" w:rsidRPr="00A826E0" w14:paraId="6D8953B8" w14:textId="77777777" w:rsidTr="00A826E0">
        <w:trPr>
          <w:gridBefore w:val="1"/>
          <w:wBefore w:w="10" w:type="dxa"/>
          <w:trHeight w:val="276"/>
        </w:trPr>
        <w:tc>
          <w:tcPr>
            <w:tcW w:w="64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44CA5F7" w14:textId="77777777" w:rsidR="00320CD5" w:rsidRPr="00A826E0" w:rsidRDefault="00320CD5" w:rsidP="00A5045C">
            <w:pPr>
              <w:spacing w:before="0" w:beforeAutospacing="0" w:after="0" w:afterAutospacing="0"/>
              <w:jc w:val="center"/>
              <w:rPr>
                <w:rFonts w:cs="Arial"/>
                <w:b/>
                <w:sz w:val="20"/>
                <w:szCs w:val="18"/>
              </w:rPr>
            </w:pPr>
            <w:r w:rsidRPr="00A826E0">
              <w:rPr>
                <w:rFonts w:cs="Arial"/>
                <w:b/>
                <w:sz w:val="20"/>
                <w:szCs w:val="18"/>
              </w:rPr>
              <w:t>2.</w:t>
            </w:r>
          </w:p>
        </w:tc>
        <w:tc>
          <w:tcPr>
            <w:tcW w:w="14097"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B87A31D" w14:textId="77777777" w:rsidR="00320CD5" w:rsidRPr="00A826E0" w:rsidRDefault="00320CD5" w:rsidP="00A826E0">
            <w:pPr>
              <w:spacing w:before="0" w:beforeAutospacing="0" w:after="0" w:afterAutospacing="0"/>
              <w:rPr>
                <w:rFonts w:cs="Arial"/>
                <w:b/>
                <w:sz w:val="20"/>
                <w:szCs w:val="18"/>
              </w:rPr>
            </w:pPr>
            <w:r w:rsidRPr="00A826E0">
              <w:rPr>
                <w:rFonts w:cs="Arial"/>
                <w:b/>
                <w:sz w:val="20"/>
                <w:szCs w:val="18"/>
              </w:rPr>
              <w:t>Évaluation des risques</w:t>
            </w:r>
          </w:p>
        </w:tc>
      </w:tr>
      <w:tr w:rsidR="001148E2" w:rsidRPr="001148E2" w14:paraId="760FCB31" w14:textId="77777777" w:rsidTr="00A826E0">
        <w:trPr>
          <w:gridBefore w:val="1"/>
          <w:wBefore w:w="10" w:type="dxa"/>
          <w:trHeight w:val="1920"/>
        </w:trPr>
        <w:tc>
          <w:tcPr>
            <w:tcW w:w="645"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85D9EEC" w14:textId="77777777" w:rsidR="001148E2" w:rsidRPr="00A5045C" w:rsidRDefault="001148E2" w:rsidP="001148E2">
            <w:pPr>
              <w:spacing w:before="0" w:beforeAutospacing="0" w:after="0" w:afterAutospacing="0"/>
              <w:jc w:val="center"/>
              <w:rPr>
                <w:rFonts w:cs="Arial"/>
                <w:b/>
                <w:bCs/>
                <w:szCs w:val="18"/>
              </w:rPr>
            </w:pPr>
            <w:r w:rsidRPr="00A5045C">
              <w:rPr>
                <w:rFonts w:cs="Arial"/>
                <w:b/>
                <w:bCs/>
                <w:szCs w:val="18"/>
              </w:rPr>
              <w:lastRenderedPageBreak/>
              <w:t xml:space="preserve">2.1 </w:t>
            </w:r>
          </w:p>
        </w:tc>
        <w:tc>
          <w:tcPr>
            <w:tcW w:w="10208"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AA69EEC" w14:textId="77777777" w:rsidR="001148E2" w:rsidRPr="00A5045C" w:rsidRDefault="001148E2" w:rsidP="001148E2">
            <w:pPr>
              <w:spacing w:before="0" w:beforeAutospacing="0" w:after="0" w:afterAutospacing="0"/>
              <w:jc w:val="both"/>
              <w:rPr>
                <w:rFonts w:cs="Arial"/>
                <w:b/>
                <w:bCs/>
                <w:szCs w:val="18"/>
              </w:rPr>
            </w:pPr>
            <w:r w:rsidRPr="00A5045C">
              <w:rPr>
                <w:rFonts w:cs="Arial"/>
                <w:b/>
                <w:bCs/>
                <w:szCs w:val="18"/>
              </w:rPr>
              <w:t xml:space="preserve">Les émetteurs doivent conduire et documenter une évaluation de l’ensemble des risques associés à la sécurité des </w:t>
            </w:r>
            <w:r w:rsidR="00483DFD">
              <w:rPr>
                <w:rFonts w:cs="Arial"/>
                <w:b/>
                <w:bCs/>
                <w:szCs w:val="18"/>
              </w:rPr>
              <w:t>TSPD/IPS</w:t>
            </w:r>
            <w:r w:rsidRPr="00A5045C">
              <w:rPr>
                <w:rFonts w:cs="Arial"/>
                <w:b/>
                <w:bCs/>
                <w:szCs w:val="18"/>
              </w:rPr>
              <w:t xml:space="preserve"> et relatifs tant à leur émission qu'à leur gestion ou leur acceptation. Cette évaluation doit notamment prendre en considération les risques liés au i) système informatique d’émission des </w:t>
            </w:r>
            <w:r w:rsidR="00483DFD">
              <w:rPr>
                <w:rFonts w:cs="Arial"/>
                <w:b/>
                <w:bCs/>
                <w:szCs w:val="18"/>
              </w:rPr>
              <w:t>TSPD/IPS</w:t>
            </w:r>
            <w:r w:rsidRPr="00A5045C">
              <w:rPr>
                <w:rFonts w:cs="Arial"/>
                <w:b/>
                <w:bCs/>
                <w:szCs w:val="18"/>
              </w:rPr>
              <w:t xml:space="preserve"> (algorithmes de génération de codes, système d’autorisations, etc.) ; ii) aux éventuelles prestations externalisées (fabricants de supports carte, opérateurs télécom, développement applicatifs, réseau d’acceptation, etc.) ; iii) à l’environnement technique mis à la disposition des tiers bénéficiaires, financeurs, accepteurs impliqués (extranets, portail web, applications mobiles, etc.).</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752B9FBE" w14:textId="77777777" w:rsidR="001148E2" w:rsidRPr="00A5045C" w:rsidRDefault="001148E2" w:rsidP="001148E2">
            <w:pPr>
              <w:spacing w:before="0" w:beforeAutospacing="0" w:after="0" w:afterAutospacing="0"/>
              <w:jc w:val="center"/>
              <w:rPr>
                <w:rFonts w:cs="Arial"/>
                <w:b/>
                <w:bCs/>
                <w:szCs w:val="18"/>
              </w:rPr>
            </w:pPr>
          </w:p>
        </w:tc>
        <w:tc>
          <w:tcPr>
            <w:tcW w:w="2539" w:type="dxa"/>
            <w:tcBorders>
              <w:top w:val="single" w:sz="4" w:space="0" w:color="auto"/>
              <w:left w:val="single" w:sz="4" w:space="0" w:color="auto"/>
              <w:bottom w:val="single" w:sz="4" w:space="0" w:color="auto"/>
              <w:right w:val="single" w:sz="4" w:space="0" w:color="auto"/>
            </w:tcBorders>
            <w:shd w:val="clear" w:color="000000" w:fill="DDEBF7"/>
            <w:vAlign w:val="center"/>
          </w:tcPr>
          <w:p w14:paraId="259C3E53" w14:textId="77777777" w:rsidR="001148E2" w:rsidRPr="00A5045C" w:rsidRDefault="001148E2" w:rsidP="001148E2">
            <w:pPr>
              <w:spacing w:before="0" w:beforeAutospacing="0" w:after="0" w:afterAutospacing="0"/>
              <w:jc w:val="center"/>
              <w:rPr>
                <w:rFonts w:cs="Arial"/>
                <w:szCs w:val="18"/>
              </w:rPr>
            </w:pPr>
          </w:p>
        </w:tc>
      </w:tr>
      <w:tr w:rsidR="00112CE3" w:rsidRPr="001148E2" w14:paraId="1069F18D" w14:textId="77777777" w:rsidTr="006F0D8B">
        <w:trPr>
          <w:gridBefore w:val="1"/>
          <w:wBefore w:w="10" w:type="dxa"/>
          <w:trHeight w:val="288"/>
        </w:trPr>
        <w:tc>
          <w:tcPr>
            <w:tcW w:w="645" w:type="dxa"/>
            <w:gridSpan w:val="2"/>
            <w:vMerge w:val="restart"/>
            <w:tcBorders>
              <w:top w:val="single" w:sz="4" w:space="0" w:color="auto"/>
              <w:left w:val="single" w:sz="4" w:space="0" w:color="auto"/>
              <w:right w:val="single" w:sz="4" w:space="0" w:color="auto"/>
            </w:tcBorders>
            <w:shd w:val="clear" w:color="000000" w:fill="FFFFFF"/>
            <w:noWrap/>
            <w:vAlign w:val="center"/>
          </w:tcPr>
          <w:p w14:paraId="56F31D39" w14:textId="77777777" w:rsidR="00112CE3" w:rsidRPr="00A5045C" w:rsidRDefault="00112CE3" w:rsidP="00112CE3">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B4E873" w14:textId="77777777" w:rsidR="00112CE3" w:rsidRPr="00A5045C" w:rsidRDefault="00112CE3" w:rsidP="00112CE3">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02466E54" w14:textId="473BA080"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63034B3B" w14:textId="574964EF"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C10A05" w:rsidRPr="001148E2" w14:paraId="33238580" w14:textId="77777777" w:rsidTr="006F0D8B">
        <w:trPr>
          <w:gridBefore w:val="1"/>
          <w:wBefore w:w="10" w:type="dxa"/>
          <w:trHeight w:val="1596"/>
        </w:trPr>
        <w:tc>
          <w:tcPr>
            <w:tcW w:w="645" w:type="dxa"/>
            <w:gridSpan w:val="2"/>
            <w:vMerge/>
            <w:tcBorders>
              <w:left w:val="single" w:sz="4" w:space="0" w:color="auto"/>
              <w:right w:val="single" w:sz="4" w:space="0" w:color="auto"/>
            </w:tcBorders>
            <w:shd w:val="clear" w:color="000000" w:fill="FFFFFF"/>
            <w:noWrap/>
            <w:vAlign w:val="center"/>
            <w:hideMark/>
          </w:tcPr>
          <w:p w14:paraId="4B6473E8" w14:textId="77777777" w:rsidR="00C10A05" w:rsidRPr="00A5045C" w:rsidRDefault="00C10A05" w:rsidP="001148E2">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BF6245" w14:textId="77777777" w:rsidR="00C10A05" w:rsidRPr="00A5045C" w:rsidRDefault="00C10A05" w:rsidP="001148E2">
            <w:pPr>
              <w:spacing w:before="0" w:beforeAutospacing="0" w:after="0" w:afterAutospacing="0"/>
              <w:jc w:val="both"/>
              <w:rPr>
                <w:rFonts w:cs="Arial"/>
                <w:szCs w:val="18"/>
              </w:rPr>
            </w:pPr>
            <w:r w:rsidRPr="00A5045C">
              <w:rPr>
                <w:rFonts w:cs="Arial"/>
                <w:szCs w:val="18"/>
              </w:rPr>
              <w:t xml:space="preserve">a) a constitué une cartographie des risques couvrant l’intégralité du périmètre des activités d’émission et de gestion des </w:t>
            </w:r>
            <w:r w:rsidR="00483DFD">
              <w:rPr>
                <w:rFonts w:cs="Arial"/>
                <w:szCs w:val="18"/>
              </w:rPr>
              <w:t>TSPD/IPS</w:t>
            </w:r>
            <w:r w:rsidRPr="00A5045C">
              <w:rPr>
                <w:rFonts w:cs="Arial"/>
                <w:szCs w:val="18"/>
              </w:rPr>
              <w:t xml:space="preserve">, en tenant compte notamment des risques liés au i) système informatique d’émission des </w:t>
            </w:r>
            <w:r w:rsidR="00483DFD">
              <w:rPr>
                <w:rFonts w:cs="Arial"/>
                <w:szCs w:val="18"/>
              </w:rPr>
              <w:t>TSPD/IPS</w:t>
            </w:r>
            <w:r w:rsidRPr="00A5045C">
              <w:rPr>
                <w:rFonts w:cs="Arial"/>
                <w:szCs w:val="18"/>
              </w:rPr>
              <w:t xml:space="preserve"> (par exemple : algorithmes de génération de codes, système d’autorisations, etc.); ii) aux éventuelles prestations externalisées (par exemple : fabricants de supports carte, opérateurs télécom, développement applicatifs, réseau d’acceptation, etc.); iii) à l’environnement technique mis à la disposition des tiers bénéficiaires, financeurs, accepteurs impliqués (par exemple : extranets, portail web, applications mobiles, etc.)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3429ECD9" w14:textId="77777777" w:rsidR="00C10A05" w:rsidRPr="00A5045C" w:rsidRDefault="00C10A05" w:rsidP="001148E2">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47701D5E" w14:textId="77777777" w:rsidR="00C10A05" w:rsidRPr="00A5045C" w:rsidRDefault="00C10A05" w:rsidP="001148E2">
            <w:pPr>
              <w:spacing w:before="0" w:beforeAutospacing="0" w:after="0" w:afterAutospacing="0"/>
              <w:rPr>
                <w:rFonts w:cs="Arial"/>
                <w:szCs w:val="18"/>
              </w:rPr>
            </w:pPr>
          </w:p>
        </w:tc>
      </w:tr>
      <w:tr w:rsidR="00C10A05" w:rsidRPr="001148E2" w14:paraId="75B8689A" w14:textId="77777777" w:rsidTr="006F0D8B">
        <w:trPr>
          <w:gridBefore w:val="1"/>
          <w:wBefore w:w="10" w:type="dxa"/>
          <w:trHeight w:val="684"/>
        </w:trPr>
        <w:tc>
          <w:tcPr>
            <w:tcW w:w="645" w:type="dxa"/>
            <w:gridSpan w:val="2"/>
            <w:vMerge/>
            <w:tcBorders>
              <w:left w:val="single" w:sz="4" w:space="0" w:color="auto"/>
              <w:right w:val="single" w:sz="4" w:space="0" w:color="auto"/>
            </w:tcBorders>
            <w:shd w:val="clear" w:color="000000" w:fill="FFFFFF"/>
            <w:noWrap/>
            <w:vAlign w:val="center"/>
            <w:hideMark/>
          </w:tcPr>
          <w:p w14:paraId="74C55DFB" w14:textId="77777777" w:rsidR="00C10A05" w:rsidRPr="00A5045C" w:rsidRDefault="00C10A05" w:rsidP="001148E2">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B36842" w14:textId="77777777" w:rsidR="00C10A05" w:rsidRPr="00A5045C" w:rsidRDefault="00C10A05" w:rsidP="001148E2">
            <w:pPr>
              <w:spacing w:before="0" w:beforeAutospacing="0" w:after="0" w:afterAutospacing="0"/>
              <w:jc w:val="both"/>
              <w:rPr>
                <w:rFonts w:cs="Arial"/>
                <w:szCs w:val="18"/>
              </w:rPr>
            </w:pPr>
            <w:r w:rsidRPr="00A5045C">
              <w:rPr>
                <w:rFonts w:cs="Arial"/>
                <w:szCs w:val="18"/>
              </w:rPr>
              <w:t>b) veille à ce qu'une révision annuelle de l’analyse des risques, prenant en considération les nouvelles menaces et nouvelles vulnérabilités ainsi que les évolutions du système d’information ou des processus, soit validée par une instance dirigeante adéquate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47B39267" w14:textId="77777777" w:rsidR="00C10A05" w:rsidRPr="00A5045C" w:rsidRDefault="00C10A05" w:rsidP="001148E2">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4F045EDF" w14:textId="77777777" w:rsidR="00C10A05" w:rsidRPr="00A5045C" w:rsidRDefault="00C10A05" w:rsidP="001148E2">
            <w:pPr>
              <w:spacing w:before="0" w:beforeAutospacing="0" w:after="0" w:afterAutospacing="0"/>
              <w:rPr>
                <w:rFonts w:cs="Arial"/>
                <w:szCs w:val="18"/>
              </w:rPr>
            </w:pPr>
          </w:p>
        </w:tc>
      </w:tr>
      <w:tr w:rsidR="00C10A05" w:rsidRPr="001148E2" w14:paraId="45C4E15F" w14:textId="77777777" w:rsidTr="006F0D8B">
        <w:trPr>
          <w:gridBefore w:val="1"/>
          <w:wBefore w:w="10" w:type="dxa"/>
          <w:trHeight w:val="456"/>
        </w:trPr>
        <w:tc>
          <w:tcPr>
            <w:tcW w:w="645" w:type="dxa"/>
            <w:gridSpan w:val="2"/>
            <w:vMerge/>
            <w:tcBorders>
              <w:left w:val="single" w:sz="4" w:space="0" w:color="auto"/>
              <w:right w:val="single" w:sz="4" w:space="0" w:color="auto"/>
            </w:tcBorders>
            <w:shd w:val="clear" w:color="000000" w:fill="FFFFFF"/>
            <w:noWrap/>
            <w:vAlign w:val="center"/>
            <w:hideMark/>
          </w:tcPr>
          <w:p w14:paraId="3E91C2BF" w14:textId="77777777" w:rsidR="00C10A05" w:rsidRPr="00A5045C" w:rsidRDefault="00C10A05" w:rsidP="001148E2">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E8FB51" w14:textId="77777777" w:rsidR="00C10A05" w:rsidRPr="00A5045C" w:rsidRDefault="00C10A05" w:rsidP="001148E2">
            <w:pPr>
              <w:spacing w:before="0" w:beforeAutospacing="0" w:after="0" w:afterAutospacing="0"/>
              <w:jc w:val="both"/>
              <w:rPr>
                <w:rFonts w:cs="Arial"/>
                <w:szCs w:val="18"/>
              </w:rPr>
            </w:pPr>
            <w:r w:rsidRPr="00A5045C">
              <w:rPr>
                <w:rFonts w:cs="Arial"/>
                <w:szCs w:val="18"/>
              </w:rPr>
              <w:t xml:space="preserve">c) intègre dans son évaluation les risques inhérents au recours à l'externalisation de fonctions du processus d'émission des </w:t>
            </w:r>
            <w:r w:rsidR="00483DFD">
              <w:rPr>
                <w:rFonts w:cs="Arial"/>
                <w:szCs w:val="18"/>
              </w:rPr>
              <w:t>TSPD/IPS</w:t>
            </w:r>
            <w:r w:rsidRPr="00A5045C">
              <w:rPr>
                <w:rFonts w:cs="Arial"/>
                <w:szCs w:val="18"/>
              </w:rPr>
              <w:t xml:space="preserve"> le cas échéant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1CFE3BC7" w14:textId="77777777" w:rsidR="00C10A05" w:rsidRPr="00A5045C" w:rsidRDefault="00C10A05" w:rsidP="001148E2">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604803C1" w14:textId="77777777" w:rsidR="00C10A05" w:rsidRPr="00A5045C" w:rsidRDefault="00C10A05" w:rsidP="001148E2">
            <w:pPr>
              <w:spacing w:before="0" w:beforeAutospacing="0" w:after="0" w:afterAutospacing="0"/>
              <w:rPr>
                <w:rFonts w:cs="Arial"/>
                <w:szCs w:val="18"/>
              </w:rPr>
            </w:pPr>
          </w:p>
        </w:tc>
      </w:tr>
      <w:tr w:rsidR="00C10A05" w:rsidRPr="001148E2" w14:paraId="584BFE3F" w14:textId="77777777" w:rsidTr="006F0D8B">
        <w:trPr>
          <w:gridBefore w:val="1"/>
          <w:wBefore w:w="10" w:type="dxa"/>
          <w:trHeight w:val="456"/>
        </w:trPr>
        <w:tc>
          <w:tcPr>
            <w:tcW w:w="645" w:type="dxa"/>
            <w:gridSpan w:val="2"/>
            <w:vMerge/>
            <w:tcBorders>
              <w:left w:val="single" w:sz="4" w:space="0" w:color="auto"/>
              <w:right w:val="single" w:sz="4" w:space="0" w:color="auto"/>
            </w:tcBorders>
            <w:shd w:val="clear" w:color="000000" w:fill="FFFFFF"/>
            <w:noWrap/>
            <w:vAlign w:val="center"/>
            <w:hideMark/>
          </w:tcPr>
          <w:p w14:paraId="2D06E6AF" w14:textId="77777777" w:rsidR="00C10A05" w:rsidRPr="00A5045C" w:rsidRDefault="00C10A05" w:rsidP="001148E2">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CC93FF" w14:textId="77777777" w:rsidR="00C10A05" w:rsidRPr="00A5045C" w:rsidRDefault="00C10A05" w:rsidP="001148E2">
            <w:pPr>
              <w:spacing w:before="0" w:beforeAutospacing="0" w:after="0" w:afterAutospacing="0"/>
              <w:jc w:val="both"/>
              <w:rPr>
                <w:rFonts w:cs="Arial"/>
                <w:szCs w:val="18"/>
              </w:rPr>
            </w:pPr>
            <w:r w:rsidRPr="00A5045C">
              <w:rPr>
                <w:rFonts w:cs="Arial"/>
                <w:szCs w:val="18"/>
              </w:rPr>
              <w:t>d) s’assure que les procédures d’évaluation des risques prennent en considération les résultats des audits, des inspections et des incidents identifiés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4F56A854" w14:textId="77777777" w:rsidR="00C10A05" w:rsidRPr="00A5045C" w:rsidRDefault="00C10A05" w:rsidP="001148E2">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4A8480BF" w14:textId="77777777" w:rsidR="00C10A05" w:rsidRPr="00A5045C" w:rsidRDefault="00C10A05" w:rsidP="001148E2">
            <w:pPr>
              <w:spacing w:before="0" w:beforeAutospacing="0" w:after="0" w:afterAutospacing="0"/>
              <w:rPr>
                <w:rFonts w:cs="Arial"/>
                <w:szCs w:val="18"/>
              </w:rPr>
            </w:pPr>
          </w:p>
        </w:tc>
      </w:tr>
      <w:tr w:rsidR="00C10A05" w:rsidRPr="001148E2" w14:paraId="78E7CA6E" w14:textId="77777777" w:rsidTr="006F0D8B">
        <w:trPr>
          <w:gridBefore w:val="1"/>
          <w:wBefore w:w="10" w:type="dxa"/>
          <w:trHeight w:val="276"/>
        </w:trPr>
        <w:tc>
          <w:tcPr>
            <w:tcW w:w="645" w:type="dxa"/>
            <w:gridSpan w:val="2"/>
            <w:vMerge/>
            <w:tcBorders>
              <w:left w:val="single" w:sz="4" w:space="0" w:color="auto"/>
              <w:bottom w:val="single" w:sz="4" w:space="0" w:color="auto"/>
              <w:right w:val="single" w:sz="4" w:space="0" w:color="auto"/>
            </w:tcBorders>
            <w:shd w:val="clear" w:color="000000" w:fill="FFFFFF"/>
            <w:noWrap/>
            <w:vAlign w:val="center"/>
            <w:hideMark/>
          </w:tcPr>
          <w:p w14:paraId="76658F13" w14:textId="77777777" w:rsidR="00C10A05" w:rsidRPr="00A5045C" w:rsidRDefault="00C10A05" w:rsidP="001148E2">
            <w:pPr>
              <w:spacing w:before="0" w:beforeAutospacing="0" w:after="0" w:afterAutospacing="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2EC417" w14:textId="77777777" w:rsidR="00C10A05" w:rsidRPr="00A5045C" w:rsidRDefault="00C10A05" w:rsidP="001148E2">
            <w:pPr>
              <w:spacing w:before="0" w:beforeAutospacing="0" w:after="0" w:afterAutospacing="0"/>
              <w:jc w:val="both"/>
              <w:rPr>
                <w:rFonts w:cs="Arial"/>
                <w:szCs w:val="18"/>
              </w:rPr>
            </w:pPr>
            <w:r w:rsidRPr="00A5045C">
              <w:rPr>
                <w:rFonts w:cs="Arial"/>
                <w:szCs w:val="18"/>
              </w:rPr>
              <w:t>e) s’assure que la qualification du personnel chargé de l’évaluation des risques est adéquate à la fonction.</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6A256751" w14:textId="77777777" w:rsidR="00C10A05" w:rsidRPr="00A5045C" w:rsidRDefault="00C10A05" w:rsidP="001148E2">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37F97AC6" w14:textId="77777777" w:rsidR="00C10A05" w:rsidRPr="00A5045C" w:rsidRDefault="00C10A05" w:rsidP="001148E2">
            <w:pPr>
              <w:spacing w:before="0" w:beforeAutospacing="0" w:after="0" w:afterAutospacing="0"/>
              <w:rPr>
                <w:rFonts w:cs="Arial"/>
                <w:szCs w:val="18"/>
              </w:rPr>
            </w:pPr>
          </w:p>
        </w:tc>
      </w:tr>
      <w:tr w:rsidR="001148E2" w:rsidRPr="001148E2" w14:paraId="528546ED" w14:textId="77777777" w:rsidTr="00A826E0">
        <w:trPr>
          <w:gridBefore w:val="1"/>
          <w:wBefore w:w="10" w:type="dxa"/>
          <w:trHeight w:val="1440"/>
        </w:trPr>
        <w:tc>
          <w:tcPr>
            <w:tcW w:w="645"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F4DC941" w14:textId="77777777" w:rsidR="001148E2" w:rsidRPr="00A5045C" w:rsidRDefault="001148E2" w:rsidP="001148E2">
            <w:pPr>
              <w:spacing w:before="0" w:beforeAutospacing="0" w:after="0" w:afterAutospacing="0"/>
              <w:jc w:val="center"/>
              <w:rPr>
                <w:rFonts w:cs="Arial"/>
                <w:b/>
                <w:bCs/>
                <w:szCs w:val="18"/>
              </w:rPr>
            </w:pPr>
            <w:r w:rsidRPr="00A5045C">
              <w:rPr>
                <w:rFonts w:cs="Arial"/>
                <w:b/>
                <w:bCs/>
                <w:szCs w:val="18"/>
              </w:rPr>
              <w:t xml:space="preserve">2.2 </w:t>
            </w:r>
          </w:p>
        </w:tc>
        <w:tc>
          <w:tcPr>
            <w:tcW w:w="10208"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62EC704" w14:textId="77777777" w:rsidR="001148E2" w:rsidRPr="00A5045C" w:rsidRDefault="001148E2" w:rsidP="001148E2">
            <w:pPr>
              <w:spacing w:before="0" w:beforeAutospacing="0" w:after="0" w:afterAutospacing="0"/>
              <w:jc w:val="both"/>
              <w:rPr>
                <w:rFonts w:cs="Arial"/>
                <w:b/>
                <w:bCs/>
                <w:szCs w:val="18"/>
              </w:rPr>
            </w:pPr>
            <w:r w:rsidRPr="00A5045C">
              <w:rPr>
                <w:rFonts w:cs="Arial"/>
                <w:b/>
                <w:bCs/>
                <w:szCs w:val="18"/>
              </w:rPr>
              <w:t xml:space="preserve">L’émetteur doit avoir identifié les données sensibles de paiement. Les données sensibles de paiement sont celles qui, conservées et réutilisées, permettent de réaliser des opérations frauduleuses de paiement. Elles comprennent les données permettant l’initiation d’un ordre de paiement, données d’identification, ainsi que tout autre donnée </w:t>
            </w:r>
            <w:r w:rsidR="008966F5" w:rsidRPr="00A5045C">
              <w:rPr>
                <w:rFonts w:cs="Arial"/>
                <w:b/>
                <w:bCs/>
                <w:szCs w:val="18"/>
              </w:rPr>
              <w:t>ou paramètre</w:t>
            </w:r>
            <w:r w:rsidRPr="00A5045C">
              <w:rPr>
                <w:rFonts w:cs="Arial"/>
                <w:b/>
                <w:bCs/>
                <w:szCs w:val="18"/>
              </w:rPr>
              <w:t xml:space="preserve"> qui lorsque modifié frauduleusement, compromet l’intégrité et la validité d’une opération de paiement. L’évaluation des risques doit prendre en considération la nécessité de protéger et sécuriser ces données.</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1B95966F" w14:textId="77777777" w:rsidR="001148E2" w:rsidRPr="00A5045C" w:rsidRDefault="001148E2" w:rsidP="001148E2">
            <w:pPr>
              <w:spacing w:before="0" w:beforeAutospacing="0" w:after="0" w:afterAutospacing="0"/>
              <w:jc w:val="center"/>
              <w:rPr>
                <w:rFonts w:cs="Arial"/>
                <w:b/>
                <w:bCs/>
                <w:szCs w:val="18"/>
              </w:rPr>
            </w:pPr>
          </w:p>
        </w:tc>
        <w:tc>
          <w:tcPr>
            <w:tcW w:w="2539" w:type="dxa"/>
            <w:tcBorders>
              <w:top w:val="single" w:sz="4" w:space="0" w:color="auto"/>
              <w:left w:val="single" w:sz="4" w:space="0" w:color="auto"/>
              <w:bottom w:val="single" w:sz="4" w:space="0" w:color="auto"/>
              <w:right w:val="single" w:sz="4" w:space="0" w:color="auto"/>
            </w:tcBorders>
            <w:shd w:val="clear" w:color="000000" w:fill="DDEBF7"/>
            <w:vAlign w:val="center"/>
          </w:tcPr>
          <w:p w14:paraId="54B8D9B8" w14:textId="77777777" w:rsidR="001148E2" w:rsidRPr="00A5045C" w:rsidRDefault="001148E2" w:rsidP="001148E2">
            <w:pPr>
              <w:spacing w:before="0" w:beforeAutospacing="0" w:after="0" w:afterAutospacing="0"/>
              <w:jc w:val="center"/>
              <w:rPr>
                <w:rFonts w:cs="Arial"/>
                <w:szCs w:val="18"/>
              </w:rPr>
            </w:pPr>
          </w:p>
        </w:tc>
      </w:tr>
      <w:tr w:rsidR="00112CE3" w:rsidRPr="001148E2" w14:paraId="7EDE9377" w14:textId="77777777" w:rsidTr="006F0D8B">
        <w:trPr>
          <w:gridBefore w:val="1"/>
          <w:wBefore w:w="10" w:type="dxa"/>
          <w:trHeight w:val="288"/>
        </w:trPr>
        <w:tc>
          <w:tcPr>
            <w:tcW w:w="645" w:type="dxa"/>
            <w:gridSpan w:val="2"/>
            <w:vMerge w:val="restart"/>
            <w:tcBorders>
              <w:top w:val="single" w:sz="4" w:space="0" w:color="auto"/>
              <w:left w:val="single" w:sz="4" w:space="0" w:color="auto"/>
              <w:right w:val="single" w:sz="4" w:space="0" w:color="auto"/>
            </w:tcBorders>
            <w:shd w:val="clear" w:color="000000" w:fill="FFFFFF"/>
            <w:noWrap/>
            <w:vAlign w:val="center"/>
          </w:tcPr>
          <w:p w14:paraId="5DFEDF31" w14:textId="77777777" w:rsidR="00112CE3" w:rsidRPr="00A5045C" w:rsidRDefault="00112CE3" w:rsidP="00112CE3">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C546A0" w14:textId="77777777" w:rsidR="00112CE3" w:rsidRPr="00A5045C" w:rsidRDefault="00112CE3" w:rsidP="00112CE3">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4C332A36" w14:textId="47DBEA38"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61E73B66" w14:textId="642B4134"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C10A05" w:rsidRPr="001148E2" w14:paraId="06E2FF53" w14:textId="77777777" w:rsidTr="006F0D8B">
        <w:trPr>
          <w:gridBefore w:val="1"/>
          <w:wBefore w:w="10" w:type="dxa"/>
          <w:trHeight w:val="684"/>
        </w:trPr>
        <w:tc>
          <w:tcPr>
            <w:tcW w:w="645" w:type="dxa"/>
            <w:gridSpan w:val="2"/>
            <w:vMerge/>
            <w:tcBorders>
              <w:left w:val="single" w:sz="4" w:space="0" w:color="auto"/>
              <w:right w:val="single" w:sz="4" w:space="0" w:color="auto"/>
            </w:tcBorders>
            <w:shd w:val="clear" w:color="000000" w:fill="FFFFFF"/>
            <w:noWrap/>
            <w:vAlign w:val="center"/>
            <w:hideMark/>
          </w:tcPr>
          <w:p w14:paraId="3BCC2D26" w14:textId="77777777" w:rsidR="00C10A05" w:rsidRPr="00A5045C" w:rsidRDefault="00C10A05" w:rsidP="001148E2">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ECDA75" w14:textId="77777777" w:rsidR="00C10A05" w:rsidRPr="00A5045C" w:rsidRDefault="00C10A05" w:rsidP="001148E2">
            <w:pPr>
              <w:spacing w:before="0" w:beforeAutospacing="0" w:after="0" w:afterAutospacing="0"/>
              <w:jc w:val="both"/>
              <w:rPr>
                <w:rFonts w:cs="Arial"/>
                <w:szCs w:val="18"/>
              </w:rPr>
            </w:pPr>
            <w:r w:rsidRPr="00A5045C">
              <w:rPr>
                <w:rFonts w:cs="Arial"/>
                <w:szCs w:val="18"/>
              </w:rPr>
              <w:t>a) met en place des procédures appropriées pour identifier les données sensibles de paiement, qui peuvent varier selon la nature du support de l’instrument de paiement utilisé (par exemple par le PAN d’une carte de paiement ou numéro de téléphone d’un utilisateur)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73857133" w14:textId="77777777" w:rsidR="00C10A05" w:rsidRPr="00A5045C" w:rsidRDefault="00C10A05" w:rsidP="001148E2">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6154A24B" w14:textId="77777777" w:rsidR="00C10A05" w:rsidRPr="00A5045C" w:rsidRDefault="00C10A05" w:rsidP="001148E2">
            <w:pPr>
              <w:spacing w:before="0" w:beforeAutospacing="0" w:after="0" w:afterAutospacing="0"/>
              <w:rPr>
                <w:rFonts w:cs="Arial"/>
                <w:szCs w:val="18"/>
              </w:rPr>
            </w:pPr>
          </w:p>
        </w:tc>
      </w:tr>
      <w:tr w:rsidR="00C10A05" w:rsidRPr="001148E2" w14:paraId="1560B66A" w14:textId="77777777" w:rsidTr="006F0D8B">
        <w:trPr>
          <w:gridBefore w:val="1"/>
          <w:wBefore w:w="10" w:type="dxa"/>
          <w:trHeight w:val="456"/>
        </w:trPr>
        <w:tc>
          <w:tcPr>
            <w:tcW w:w="645" w:type="dxa"/>
            <w:gridSpan w:val="2"/>
            <w:vMerge/>
            <w:tcBorders>
              <w:left w:val="single" w:sz="4" w:space="0" w:color="auto"/>
              <w:right w:val="single" w:sz="4" w:space="0" w:color="auto"/>
            </w:tcBorders>
            <w:shd w:val="clear" w:color="000000" w:fill="FFFFFF"/>
            <w:noWrap/>
            <w:vAlign w:val="center"/>
            <w:hideMark/>
          </w:tcPr>
          <w:p w14:paraId="4D69D217" w14:textId="77777777" w:rsidR="00C10A05" w:rsidRPr="00A5045C" w:rsidRDefault="00C10A05" w:rsidP="001148E2">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ADAC5F" w14:textId="77777777" w:rsidR="00C10A05" w:rsidRPr="00A5045C" w:rsidRDefault="00C10A05" w:rsidP="001148E2">
            <w:pPr>
              <w:spacing w:before="0" w:beforeAutospacing="0" w:after="0" w:afterAutospacing="0"/>
              <w:jc w:val="both"/>
              <w:rPr>
                <w:rFonts w:cs="Arial"/>
                <w:szCs w:val="18"/>
              </w:rPr>
            </w:pPr>
            <w:r w:rsidRPr="00A5045C">
              <w:rPr>
                <w:rFonts w:cs="Arial"/>
                <w:szCs w:val="18"/>
              </w:rPr>
              <w:t>b) s’assure que la liste de ces données sensibles est mise à jour dans le cadre des projets d’évolutions et lorsque de nouveaux types de fraudes sont identifiés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74BAA78D" w14:textId="77777777" w:rsidR="00C10A05" w:rsidRPr="00A5045C" w:rsidRDefault="00C10A05" w:rsidP="001148E2">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37BAD3EB" w14:textId="77777777" w:rsidR="00C10A05" w:rsidRPr="00A5045C" w:rsidRDefault="00C10A05" w:rsidP="001148E2">
            <w:pPr>
              <w:spacing w:before="0" w:beforeAutospacing="0" w:after="0" w:afterAutospacing="0"/>
              <w:rPr>
                <w:rFonts w:cs="Arial"/>
                <w:szCs w:val="18"/>
              </w:rPr>
            </w:pPr>
          </w:p>
        </w:tc>
      </w:tr>
      <w:tr w:rsidR="00C10A05" w:rsidRPr="001148E2" w14:paraId="504BE13E" w14:textId="77777777" w:rsidTr="006F0D8B">
        <w:trPr>
          <w:gridBefore w:val="1"/>
          <w:wBefore w:w="10" w:type="dxa"/>
          <w:trHeight w:val="456"/>
        </w:trPr>
        <w:tc>
          <w:tcPr>
            <w:tcW w:w="645" w:type="dxa"/>
            <w:gridSpan w:val="2"/>
            <w:vMerge/>
            <w:tcBorders>
              <w:left w:val="single" w:sz="4" w:space="0" w:color="auto"/>
              <w:bottom w:val="single" w:sz="4" w:space="0" w:color="auto"/>
              <w:right w:val="single" w:sz="4" w:space="0" w:color="auto"/>
            </w:tcBorders>
            <w:shd w:val="clear" w:color="000000" w:fill="FFFFFF"/>
            <w:noWrap/>
            <w:vAlign w:val="center"/>
            <w:hideMark/>
          </w:tcPr>
          <w:p w14:paraId="3A42C465" w14:textId="77777777" w:rsidR="00C10A05" w:rsidRPr="00A5045C" w:rsidRDefault="00C10A05" w:rsidP="001148E2">
            <w:pPr>
              <w:spacing w:before="0" w:beforeAutospacing="0" w:after="0" w:afterAutospacing="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751FE6" w14:textId="77777777" w:rsidR="00C10A05" w:rsidRPr="00A5045C" w:rsidRDefault="00C10A05" w:rsidP="001148E2">
            <w:pPr>
              <w:spacing w:before="0" w:beforeAutospacing="0" w:after="0" w:afterAutospacing="0"/>
              <w:jc w:val="both"/>
              <w:rPr>
                <w:rFonts w:cs="Arial"/>
                <w:szCs w:val="18"/>
              </w:rPr>
            </w:pPr>
            <w:r w:rsidRPr="00A5045C">
              <w:rPr>
                <w:rFonts w:cs="Arial"/>
                <w:szCs w:val="18"/>
              </w:rPr>
              <w:t>c) prévoit les dispositifs techniques et organisationnels permettant de garantir l’authenticité, l’intégrité et la confidentialité des données sensibles de paiement.</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5E557FC9" w14:textId="77777777" w:rsidR="00C10A05" w:rsidRPr="00A5045C" w:rsidRDefault="00C10A05" w:rsidP="001148E2">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11143BEE" w14:textId="77777777" w:rsidR="00C10A05" w:rsidRPr="00A5045C" w:rsidRDefault="00C10A05" w:rsidP="001148E2">
            <w:pPr>
              <w:spacing w:before="0" w:beforeAutospacing="0" w:after="0" w:afterAutospacing="0"/>
              <w:rPr>
                <w:rFonts w:cs="Arial"/>
                <w:szCs w:val="18"/>
              </w:rPr>
            </w:pPr>
          </w:p>
        </w:tc>
      </w:tr>
      <w:tr w:rsidR="001148E2" w:rsidRPr="001148E2" w14:paraId="3D69C2D7" w14:textId="77777777" w:rsidTr="00A826E0">
        <w:trPr>
          <w:gridBefore w:val="1"/>
          <w:wBefore w:w="10" w:type="dxa"/>
          <w:trHeight w:val="960"/>
        </w:trPr>
        <w:tc>
          <w:tcPr>
            <w:tcW w:w="645"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A0CE1D1" w14:textId="77777777" w:rsidR="001148E2" w:rsidRPr="00A5045C" w:rsidRDefault="001148E2" w:rsidP="001148E2">
            <w:pPr>
              <w:spacing w:before="0" w:beforeAutospacing="0" w:after="0" w:afterAutospacing="0"/>
              <w:jc w:val="center"/>
              <w:rPr>
                <w:rFonts w:cs="Arial"/>
                <w:b/>
                <w:bCs/>
                <w:szCs w:val="18"/>
              </w:rPr>
            </w:pPr>
            <w:r w:rsidRPr="00A5045C">
              <w:rPr>
                <w:rFonts w:cs="Arial"/>
                <w:b/>
                <w:bCs/>
                <w:szCs w:val="18"/>
              </w:rPr>
              <w:lastRenderedPageBreak/>
              <w:t xml:space="preserve">2.3 </w:t>
            </w:r>
          </w:p>
        </w:tc>
        <w:tc>
          <w:tcPr>
            <w:tcW w:w="10208"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B3FBDAF" w14:textId="77777777" w:rsidR="001148E2" w:rsidRPr="00A5045C" w:rsidRDefault="001148E2" w:rsidP="001148E2">
            <w:pPr>
              <w:spacing w:before="0" w:beforeAutospacing="0" w:after="0" w:afterAutospacing="0"/>
              <w:jc w:val="both"/>
              <w:rPr>
                <w:rFonts w:cs="Arial"/>
                <w:b/>
                <w:bCs/>
                <w:szCs w:val="18"/>
              </w:rPr>
            </w:pPr>
            <w:r w:rsidRPr="00A5045C">
              <w:rPr>
                <w:rFonts w:cs="Arial"/>
                <w:b/>
                <w:bCs/>
                <w:szCs w:val="18"/>
              </w:rPr>
              <w:t>Les émetteurs doivent entreprendre une revue des scénarios de risques majeurs pouvant affecter le service avant toute modification substantielle d’infrastructure ou de processus fonctionnel, ou lorsque de nouvelles menaces ont été identifiées lors d’une révision de l’analyse des risques. Cette révision générale de l’analyse des risques majeurs doit être réalisée a minima une fois par an.</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475CA33D" w14:textId="77777777" w:rsidR="001148E2" w:rsidRPr="00A5045C" w:rsidRDefault="001148E2" w:rsidP="001148E2">
            <w:pPr>
              <w:spacing w:before="0" w:beforeAutospacing="0" w:after="0" w:afterAutospacing="0"/>
              <w:jc w:val="center"/>
              <w:rPr>
                <w:rFonts w:cs="Arial"/>
                <w:b/>
                <w:bCs/>
                <w:szCs w:val="18"/>
              </w:rPr>
            </w:pPr>
          </w:p>
        </w:tc>
        <w:tc>
          <w:tcPr>
            <w:tcW w:w="2539" w:type="dxa"/>
            <w:tcBorders>
              <w:top w:val="single" w:sz="4" w:space="0" w:color="auto"/>
              <w:left w:val="single" w:sz="4" w:space="0" w:color="auto"/>
              <w:bottom w:val="single" w:sz="4" w:space="0" w:color="auto"/>
              <w:right w:val="single" w:sz="4" w:space="0" w:color="auto"/>
            </w:tcBorders>
            <w:shd w:val="clear" w:color="000000" w:fill="DDEBF7"/>
            <w:vAlign w:val="center"/>
          </w:tcPr>
          <w:p w14:paraId="47EF2BA2" w14:textId="77777777" w:rsidR="001148E2" w:rsidRPr="00A5045C" w:rsidRDefault="001148E2" w:rsidP="001148E2">
            <w:pPr>
              <w:spacing w:before="0" w:beforeAutospacing="0" w:after="0" w:afterAutospacing="0"/>
              <w:jc w:val="center"/>
              <w:rPr>
                <w:rFonts w:cs="Arial"/>
                <w:szCs w:val="18"/>
              </w:rPr>
            </w:pPr>
          </w:p>
        </w:tc>
      </w:tr>
      <w:tr w:rsidR="00112CE3" w:rsidRPr="001148E2" w14:paraId="7D1D6203" w14:textId="77777777" w:rsidTr="006F0D8B">
        <w:trPr>
          <w:gridBefore w:val="1"/>
          <w:wBefore w:w="10" w:type="dxa"/>
          <w:trHeight w:val="288"/>
        </w:trPr>
        <w:tc>
          <w:tcPr>
            <w:tcW w:w="64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1D64758B" w14:textId="77777777" w:rsidR="00112CE3" w:rsidRPr="00A5045C" w:rsidRDefault="00112CE3" w:rsidP="00112CE3">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FE1B41" w14:textId="77777777" w:rsidR="00112CE3" w:rsidRPr="00A5045C" w:rsidRDefault="00112CE3" w:rsidP="00112CE3">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7C686A92" w14:textId="61EA48ED"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4CCD5AB3" w14:textId="0D0D0E82" w:rsidR="00112CE3" w:rsidRPr="00A5045C" w:rsidRDefault="00112CE3" w:rsidP="00112CE3">
            <w:pPr>
              <w:spacing w:before="0" w:beforeAutospacing="0" w:after="0" w:afterAutospacing="0"/>
              <w:jc w:val="center"/>
              <w:rPr>
                <w:rFonts w:cs="Arial"/>
                <w:szCs w:val="18"/>
              </w:rPr>
            </w:pPr>
            <w:r>
              <w:rPr>
                <w:rFonts w:cs="Arial"/>
                <w:color w:val="000000"/>
                <w:szCs w:val="18"/>
              </w:rPr>
              <w:t xml:space="preserve">500 caractères </w:t>
            </w:r>
            <w:r w:rsidR="00D271EB" w:rsidRPr="00146FA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C10A05" w:rsidRPr="001148E2" w14:paraId="6B2C145C" w14:textId="77777777" w:rsidTr="006F0D8B">
        <w:trPr>
          <w:gridBefore w:val="1"/>
          <w:wBefore w:w="10" w:type="dxa"/>
          <w:trHeight w:val="456"/>
        </w:trPr>
        <w:tc>
          <w:tcPr>
            <w:tcW w:w="645"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6B45F6E3" w14:textId="77777777" w:rsidR="00C10A05" w:rsidRPr="00A5045C" w:rsidRDefault="00C10A05" w:rsidP="001148E2">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1D4E95" w14:textId="77777777" w:rsidR="00C10A05" w:rsidRPr="00A5045C" w:rsidRDefault="00C10A05" w:rsidP="001148E2">
            <w:pPr>
              <w:spacing w:before="0" w:beforeAutospacing="0" w:after="0" w:afterAutospacing="0"/>
              <w:jc w:val="both"/>
              <w:rPr>
                <w:rFonts w:cs="Arial"/>
                <w:szCs w:val="18"/>
              </w:rPr>
            </w:pPr>
            <w:r w:rsidRPr="00A5045C">
              <w:rPr>
                <w:rFonts w:cs="Arial"/>
                <w:szCs w:val="18"/>
              </w:rPr>
              <w:t xml:space="preserve">a) définit les risques majeurs liés à la sécurité des </w:t>
            </w:r>
            <w:r w:rsidR="00483DFD">
              <w:rPr>
                <w:rFonts w:cs="Arial"/>
                <w:szCs w:val="18"/>
              </w:rPr>
              <w:t>TSPD/IPS</w:t>
            </w:r>
            <w:r w:rsidRPr="00A5045C">
              <w:rPr>
                <w:rFonts w:cs="Arial"/>
                <w:szCs w:val="18"/>
              </w:rPr>
              <w:t>. Ceux-ci résultent généralement de l’indisponibilité du système d’information, des ressources humaines ou des locaux de l’entreprise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5D5CAE87" w14:textId="77777777" w:rsidR="00C10A05" w:rsidRPr="00A5045C" w:rsidRDefault="00C10A05" w:rsidP="001148E2">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47A04962" w14:textId="77777777" w:rsidR="00C10A05" w:rsidRPr="00A5045C" w:rsidRDefault="00C10A05" w:rsidP="001148E2">
            <w:pPr>
              <w:spacing w:before="0" w:beforeAutospacing="0" w:after="0" w:afterAutospacing="0"/>
              <w:rPr>
                <w:rFonts w:cs="Arial"/>
                <w:szCs w:val="18"/>
              </w:rPr>
            </w:pPr>
          </w:p>
        </w:tc>
      </w:tr>
      <w:tr w:rsidR="00C10A05" w:rsidRPr="001148E2" w14:paraId="4C69456E" w14:textId="77777777" w:rsidTr="006F0D8B">
        <w:trPr>
          <w:gridBefore w:val="1"/>
          <w:wBefore w:w="10" w:type="dxa"/>
          <w:trHeight w:val="456"/>
        </w:trPr>
        <w:tc>
          <w:tcPr>
            <w:tcW w:w="645"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1515EC82" w14:textId="77777777" w:rsidR="00C10A05" w:rsidRPr="00A5045C" w:rsidRDefault="00C10A05" w:rsidP="001148E2">
            <w:pPr>
              <w:spacing w:before="0" w:beforeAutospacing="0" w:after="0" w:afterAutospacing="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1EFE0A" w14:textId="77777777" w:rsidR="00C10A05" w:rsidRPr="00A5045C" w:rsidRDefault="00C10A05" w:rsidP="001148E2">
            <w:pPr>
              <w:spacing w:before="0" w:beforeAutospacing="0" w:after="0" w:afterAutospacing="0"/>
              <w:jc w:val="both"/>
              <w:rPr>
                <w:rFonts w:cs="Arial"/>
                <w:szCs w:val="18"/>
              </w:rPr>
            </w:pPr>
            <w:r w:rsidRPr="00A5045C">
              <w:rPr>
                <w:rFonts w:cs="Arial"/>
                <w:szCs w:val="18"/>
              </w:rPr>
              <w:t>b) s’assure que la révision de l'analyse des risques majeurs fait l'objet d'une rubrique dédiée dans le cadre de la révision annuelle de l'analyse des risques.</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11046BB3" w14:textId="77777777" w:rsidR="00C10A05" w:rsidRPr="00A5045C" w:rsidRDefault="00C10A05" w:rsidP="001148E2">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71A46FFE" w14:textId="77777777" w:rsidR="00C10A05" w:rsidRPr="00A5045C" w:rsidRDefault="00C10A05" w:rsidP="001148E2">
            <w:pPr>
              <w:spacing w:before="0" w:beforeAutospacing="0" w:after="0" w:afterAutospacing="0"/>
              <w:rPr>
                <w:rFonts w:cs="Arial"/>
                <w:szCs w:val="18"/>
              </w:rPr>
            </w:pPr>
          </w:p>
        </w:tc>
      </w:tr>
      <w:tr w:rsidR="00903466" w:rsidRPr="001148E2" w14:paraId="646CFEF0" w14:textId="77777777" w:rsidTr="00735052">
        <w:trPr>
          <w:gridBefore w:val="1"/>
          <w:wBefore w:w="10" w:type="dxa"/>
          <w:trHeight w:val="960"/>
        </w:trPr>
        <w:tc>
          <w:tcPr>
            <w:tcW w:w="645"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3B33EA3" w14:textId="6F2F36A9" w:rsidR="00903466" w:rsidRPr="00A5045C" w:rsidRDefault="00903466" w:rsidP="00735052">
            <w:pPr>
              <w:spacing w:before="0" w:beforeAutospacing="0" w:after="0" w:afterAutospacing="0"/>
              <w:jc w:val="center"/>
              <w:rPr>
                <w:rFonts w:cs="Arial"/>
                <w:b/>
                <w:bCs/>
                <w:szCs w:val="18"/>
              </w:rPr>
            </w:pPr>
            <w:r>
              <w:rPr>
                <w:rFonts w:cs="Arial"/>
                <w:b/>
                <w:bCs/>
                <w:szCs w:val="18"/>
              </w:rPr>
              <w:t>2.4</w:t>
            </w:r>
            <w:r w:rsidRPr="00A5045C">
              <w:rPr>
                <w:rFonts w:cs="Arial"/>
                <w:b/>
                <w:bCs/>
                <w:szCs w:val="18"/>
              </w:rPr>
              <w:t xml:space="preserve"> </w:t>
            </w:r>
          </w:p>
        </w:tc>
        <w:tc>
          <w:tcPr>
            <w:tcW w:w="10208"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E76C209" w14:textId="5788BE0F" w:rsidR="00903466" w:rsidRPr="00A5045C" w:rsidRDefault="00903466" w:rsidP="00735052">
            <w:pPr>
              <w:spacing w:before="0" w:beforeAutospacing="0" w:after="0" w:afterAutospacing="0"/>
              <w:jc w:val="both"/>
              <w:rPr>
                <w:rFonts w:cs="Arial"/>
                <w:b/>
                <w:bCs/>
                <w:szCs w:val="18"/>
              </w:rPr>
            </w:pPr>
            <w:r w:rsidRPr="00F039AD">
              <w:rPr>
                <w:rFonts w:ascii="Calibri" w:hAnsi="Calibri" w:cs="Calibri"/>
                <w:b/>
                <w:bCs/>
                <w:color w:val="000000"/>
                <w:sz w:val="20"/>
              </w:rPr>
              <w:t>Les émetteurs exercent une activité de veille qui leur permet d’adapter les protections dont bénéficient leurs titres physiques ou dématérialisés en fonction de l’évolution des techniques de fraude, afin que ceux-ci conservent toujours un niveau de sécurité adapté.</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2CFED6C5" w14:textId="77777777" w:rsidR="00903466" w:rsidRPr="00A5045C" w:rsidRDefault="00903466" w:rsidP="00735052">
            <w:pPr>
              <w:spacing w:before="0" w:beforeAutospacing="0" w:after="0" w:afterAutospacing="0"/>
              <w:jc w:val="center"/>
              <w:rPr>
                <w:rFonts w:cs="Arial"/>
                <w:b/>
                <w:bCs/>
                <w:szCs w:val="18"/>
              </w:rPr>
            </w:pPr>
          </w:p>
        </w:tc>
        <w:tc>
          <w:tcPr>
            <w:tcW w:w="2539" w:type="dxa"/>
            <w:tcBorders>
              <w:top w:val="single" w:sz="4" w:space="0" w:color="auto"/>
              <w:left w:val="single" w:sz="4" w:space="0" w:color="auto"/>
              <w:bottom w:val="single" w:sz="4" w:space="0" w:color="auto"/>
              <w:right w:val="single" w:sz="4" w:space="0" w:color="auto"/>
            </w:tcBorders>
            <w:shd w:val="clear" w:color="000000" w:fill="DDEBF7"/>
            <w:vAlign w:val="center"/>
          </w:tcPr>
          <w:p w14:paraId="47821503" w14:textId="77777777" w:rsidR="00903466" w:rsidRPr="00A5045C" w:rsidRDefault="00903466" w:rsidP="00735052">
            <w:pPr>
              <w:spacing w:before="0" w:beforeAutospacing="0" w:after="0" w:afterAutospacing="0"/>
              <w:jc w:val="center"/>
              <w:rPr>
                <w:rFonts w:cs="Arial"/>
                <w:szCs w:val="18"/>
              </w:rPr>
            </w:pPr>
          </w:p>
        </w:tc>
      </w:tr>
      <w:tr w:rsidR="00112CE3" w:rsidRPr="001148E2" w14:paraId="2D60561B" w14:textId="77777777" w:rsidTr="00735052">
        <w:trPr>
          <w:gridBefore w:val="1"/>
          <w:wBefore w:w="10" w:type="dxa"/>
          <w:trHeight w:val="288"/>
        </w:trPr>
        <w:tc>
          <w:tcPr>
            <w:tcW w:w="64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447D17C7" w14:textId="77777777" w:rsidR="00112CE3" w:rsidRPr="00A5045C" w:rsidRDefault="00112CE3" w:rsidP="00112CE3">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05F7ED" w14:textId="77777777" w:rsidR="00112CE3" w:rsidRPr="007165F7" w:rsidRDefault="00112CE3" w:rsidP="00112CE3">
            <w:pPr>
              <w:spacing w:before="0" w:beforeAutospacing="0" w:after="0" w:afterAutospacing="0"/>
              <w:jc w:val="both"/>
              <w:rPr>
                <w:rFonts w:cs="Arial"/>
                <w:szCs w:val="18"/>
              </w:rPr>
            </w:pPr>
            <w:r w:rsidRPr="007165F7">
              <w:rPr>
                <w:rFonts w:cs="Arial"/>
                <w:szCs w:val="18"/>
              </w:rPr>
              <w:t>L’émetteur de TSPD/IPS :</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1604EF48" w14:textId="2E54E7C8"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565C48C3" w14:textId="03D73CF9" w:rsidR="00112CE3" w:rsidRPr="00A5045C" w:rsidRDefault="00112CE3" w:rsidP="00112CE3">
            <w:pPr>
              <w:spacing w:before="0" w:beforeAutospacing="0" w:after="0" w:afterAutospacing="0"/>
              <w:jc w:val="center"/>
              <w:rPr>
                <w:rFonts w:cs="Arial"/>
                <w:szCs w:val="18"/>
              </w:rPr>
            </w:pPr>
            <w:r>
              <w:rPr>
                <w:rFonts w:cs="Arial"/>
                <w:color w:val="000000"/>
                <w:szCs w:val="18"/>
              </w:rPr>
              <w:t xml:space="preserve">500 caractères </w:t>
            </w:r>
            <w:r w:rsidR="00D271EB" w:rsidRPr="00146FA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903466" w:rsidRPr="001148E2" w14:paraId="2EF71946" w14:textId="77777777" w:rsidTr="00735052">
        <w:trPr>
          <w:gridBefore w:val="1"/>
          <w:wBefore w:w="10" w:type="dxa"/>
          <w:trHeight w:val="288"/>
        </w:trPr>
        <w:tc>
          <w:tcPr>
            <w:tcW w:w="645"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21023266" w14:textId="77777777" w:rsidR="00903466" w:rsidRPr="00A5045C" w:rsidRDefault="00903466" w:rsidP="00903466">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C543151" w14:textId="6A8BE660" w:rsidR="00903466" w:rsidRPr="007165F7" w:rsidRDefault="00903466" w:rsidP="00903466">
            <w:pPr>
              <w:spacing w:before="0" w:beforeAutospacing="0" w:after="0" w:afterAutospacing="0"/>
              <w:jc w:val="both"/>
              <w:rPr>
                <w:rFonts w:cs="Arial"/>
                <w:szCs w:val="18"/>
              </w:rPr>
            </w:pPr>
            <w:r w:rsidRPr="007165F7">
              <w:rPr>
                <w:rFonts w:cs="Arial"/>
                <w:color w:val="000000"/>
                <w:szCs w:val="18"/>
              </w:rPr>
              <w:t>a) exerce une activité de veille concernant l’évolution des méthodes de falsification et de contrefaçon des TSPD/IPS.</w:t>
            </w:r>
          </w:p>
        </w:tc>
        <w:tc>
          <w:tcPr>
            <w:tcW w:w="1350" w:type="dxa"/>
            <w:gridSpan w:val="2"/>
            <w:vMerge/>
            <w:tcBorders>
              <w:top w:val="single" w:sz="4" w:space="0" w:color="auto"/>
              <w:left w:val="single" w:sz="4" w:space="0" w:color="auto"/>
              <w:bottom w:val="single" w:sz="4" w:space="0" w:color="auto"/>
              <w:right w:val="single" w:sz="4" w:space="0" w:color="auto"/>
            </w:tcBorders>
            <w:shd w:val="clear" w:color="000000" w:fill="FF0000"/>
            <w:vAlign w:val="center"/>
          </w:tcPr>
          <w:p w14:paraId="74F4EE74" w14:textId="77777777" w:rsidR="00903466" w:rsidRDefault="00903466" w:rsidP="00903466">
            <w:pPr>
              <w:spacing w:before="0" w:beforeAutospacing="0" w:after="0" w:afterAutospacing="0"/>
              <w:jc w:val="center"/>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736CC60F" w14:textId="77777777" w:rsidR="00903466" w:rsidRDefault="00903466" w:rsidP="00903466">
            <w:pPr>
              <w:spacing w:before="0" w:beforeAutospacing="0" w:after="0" w:afterAutospacing="0"/>
              <w:jc w:val="center"/>
              <w:rPr>
                <w:rFonts w:cs="Arial"/>
                <w:color w:val="000000"/>
                <w:szCs w:val="18"/>
              </w:rPr>
            </w:pPr>
          </w:p>
        </w:tc>
      </w:tr>
      <w:tr w:rsidR="00903466" w:rsidRPr="001148E2" w14:paraId="1D01B7DA" w14:textId="77777777" w:rsidTr="007165F7">
        <w:trPr>
          <w:gridBefore w:val="1"/>
          <w:wBefore w:w="10" w:type="dxa"/>
          <w:trHeight w:val="456"/>
        </w:trPr>
        <w:tc>
          <w:tcPr>
            <w:tcW w:w="645"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63D4078C" w14:textId="77777777" w:rsidR="00903466" w:rsidRPr="00A5045C" w:rsidRDefault="00903466" w:rsidP="00903466">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8327979" w14:textId="24374FA8" w:rsidR="00903466" w:rsidRPr="007165F7" w:rsidRDefault="00903466" w:rsidP="00903466">
            <w:pPr>
              <w:spacing w:before="0" w:beforeAutospacing="0" w:after="0" w:afterAutospacing="0"/>
              <w:jc w:val="both"/>
              <w:rPr>
                <w:rFonts w:cs="Arial"/>
                <w:szCs w:val="18"/>
              </w:rPr>
            </w:pPr>
            <w:r w:rsidRPr="007165F7">
              <w:rPr>
                <w:rFonts w:cs="Arial"/>
                <w:color w:val="000000"/>
                <w:szCs w:val="18"/>
              </w:rPr>
              <w:t>b) exerce une activité de veille concernant l’évolution des méthodes d’attaque en particulier des attaques réalisées sur les environnements d’accès distants proposés aux tiers avec lesquels il est en relation.</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236AFB37" w14:textId="77777777" w:rsidR="00903466" w:rsidRPr="00A5045C" w:rsidRDefault="00903466" w:rsidP="00903466">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5A3421CE" w14:textId="77777777" w:rsidR="00903466" w:rsidRPr="00A5045C" w:rsidRDefault="00903466" w:rsidP="00903466">
            <w:pPr>
              <w:spacing w:before="0" w:beforeAutospacing="0" w:after="0" w:afterAutospacing="0"/>
              <w:rPr>
                <w:rFonts w:cs="Arial"/>
                <w:szCs w:val="18"/>
              </w:rPr>
            </w:pPr>
          </w:p>
        </w:tc>
      </w:tr>
      <w:tr w:rsidR="00903466" w:rsidRPr="001148E2" w14:paraId="1587C674" w14:textId="77777777" w:rsidTr="00735052">
        <w:trPr>
          <w:gridBefore w:val="1"/>
          <w:wBefore w:w="10" w:type="dxa"/>
          <w:trHeight w:val="456"/>
        </w:trPr>
        <w:tc>
          <w:tcPr>
            <w:tcW w:w="645"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65F6DBC4" w14:textId="77777777" w:rsidR="00903466" w:rsidRPr="00A5045C" w:rsidRDefault="00903466" w:rsidP="00903466">
            <w:pPr>
              <w:spacing w:before="0" w:beforeAutospacing="0" w:after="0" w:afterAutospacing="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59E989" w14:textId="6A1EA171" w:rsidR="00903466" w:rsidRPr="007165F7" w:rsidRDefault="00903466" w:rsidP="00903466">
            <w:pPr>
              <w:spacing w:before="0" w:beforeAutospacing="0" w:after="0" w:afterAutospacing="0"/>
              <w:jc w:val="both"/>
              <w:rPr>
                <w:rFonts w:cs="Arial"/>
                <w:szCs w:val="18"/>
              </w:rPr>
            </w:pPr>
            <w:r w:rsidRPr="007165F7">
              <w:rPr>
                <w:rFonts w:cs="Arial"/>
                <w:color w:val="000000"/>
                <w:szCs w:val="18"/>
              </w:rPr>
              <w:t>c) tient compte des informations recueillies par son activité de veille pour adapter le niveau de sécurité de ses TSPD/IPS, de ses bases de données et de ses accès réseaux.</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766105DB" w14:textId="77777777" w:rsidR="00903466" w:rsidRPr="00A5045C" w:rsidRDefault="00903466" w:rsidP="00903466">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032AA1A4" w14:textId="77777777" w:rsidR="00903466" w:rsidRPr="00A5045C" w:rsidRDefault="00903466" w:rsidP="00903466">
            <w:pPr>
              <w:spacing w:before="0" w:beforeAutospacing="0" w:after="0" w:afterAutospacing="0"/>
              <w:rPr>
                <w:rFonts w:cs="Arial"/>
                <w:szCs w:val="18"/>
              </w:rPr>
            </w:pPr>
          </w:p>
        </w:tc>
      </w:tr>
      <w:tr w:rsidR="00903466" w:rsidRPr="00A826E0" w14:paraId="1184AF9C"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46" w:type="dxa"/>
            <w:gridSpan w:val="2"/>
            <w:shd w:val="clear" w:color="auto" w:fill="B8CCE4" w:themeFill="accent1" w:themeFillTint="66"/>
            <w:noWrap/>
            <w:vAlign w:val="center"/>
            <w:hideMark/>
          </w:tcPr>
          <w:p w14:paraId="7D996500" w14:textId="77777777" w:rsidR="00903466" w:rsidRPr="00A826E0" w:rsidRDefault="00903466" w:rsidP="00903466">
            <w:pPr>
              <w:spacing w:before="0" w:beforeAutospacing="0" w:after="0" w:afterAutospacing="0"/>
              <w:jc w:val="both"/>
              <w:rPr>
                <w:rFonts w:cs="Arial"/>
                <w:b/>
                <w:sz w:val="20"/>
                <w:szCs w:val="18"/>
              </w:rPr>
            </w:pPr>
            <w:r w:rsidRPr="00A826E0">
              <w:rPr>
                <w:rFonts w:cs="Arial"/>
                <w:b/>
                <w:sz w:val="20"/>
                <w:szCs w:val="18"/>
              </w:rPr>
              <w:t>3.</w:t>
            </w:r>
          </w:p>
        </w:tc>
        <w:tc>
          <w:tcPr>
            <w:tcW w:w="14106" w:type="dxa"/>
            <w:gridSpan w:val="6"/>
            <w:shd w:val="clear" w:color="auto" w:fill="B8CCE4" w:themeFill="accent1" w:themeFillTint="66"/>
            <w:noWrap/>
            <w:vAlign w:val="center"/>
            <w:hideMark/>
          </w:tcPr>
          <w:p w14:paraId="00C49B41" w14:textId="77777777" w:rsidR="00903466" w:rsidRPr="00A826E0" w:rsidRDefault="00903466" w:rsidP="00903466">
            <w:pPr>
              <w:spacing w:before="0" w:beforeAutospacing="0" w:after="0" w:afterAutospacing="0"/>
              <w:rPr>
                <w:rFonts w:cs="Arial"/>
                <w:b/>
                <w:sz w:val="20"/>
                <w:szCs w:val="18"/>
              </w:rPr>
            </w:pPr>
            <w:r w:rsidRPr="00A826E0">
              <w:rPr>
                <w:rFonts w:cs="Arial"/>
                <w:b/>
                <w:sz w:val="20"/>
                <w:szCs w:val="18"/>
              </w:rPr>
              <w:t>Gestion des incidents et reporting</w:t>
            </w:r>
          </w:p>
        </w:tc>
      </w:tr>
      <w:tr w:rsidR="00903466" w:rsidRPr="001148E2" w14:paraId="7B55461D"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6" w:type="dxa"/>
            <w:gridSpan w:val="2"/>
            <w:shd w:val="clear" w:color="000000" w:fill="DDEBF7"/>
            <w:noWrap/>
            <w:vAlign w:val="center"/>
            <w:hideMark/>
          </w:tcPr>
          <w:p w14:paraId="2A51A07B" w14:textId="77777777" w:rsidR="00903466" w:rsidRPr="00A5045C" w:rsidRDefault="00903466" w:rsidP="00903466">
            <w:pPr>
              <w:spacing w:before="0" w:beforeAutospacing="0" w:after="0" w:afterAutospacing="0"/>
              <w:jc w:val="center"/>
              <w:rPr>
                <w:rFonts w:cs="Arial"/>
                <w:b/>
                <w:bCs/>
                <w:szCs w:val="18"/>
              </w:rPr>
            </w:pPr>
            <w:r w:rsidRPr="00A5045C">
              <w:rPr>
                <w:rFonts w:cs="Arial"/>
                <w:b/>
                <w:bCs/>
                <w:szCs w:val="18"/>
              </w:rPr>
              <w:t xml:space="preserve">3.1 </w:t>
            </w:r>
          </w:p>
        </w:tc>
        <w:tc>
          <w:tcPr>
            <w:tcW w:w="10211" w:type="dxa"/>
            <w:gridSpan w:val="2"/>
            <w:shd w:val="clear" w:color="000000" w:fill="DDEBF7"/>
            <w:noWrap/>
            <w:vAlign w:val="center"/>
            <w:hideMark/>
          </w:tcPr>
          <w:p w14:paraId="1886657E" w14:textId="77777777" w:rsidR="00903466" w:rsidRPr="00A5045C" w:rsidRDefault="00903466" w:rsidP="00903466">
            <w:pPr>
              <w:spacing w:before="0" w:beforeAutospacing="0" w:after="0" w:afterAutospacing="0"/>
              <w:jc w:val="both"/>
              <w:rPr>
                <w:rFonts w:cs="Arial"/>
                <w:b/>
                <w:bCs/>
                <w:szCs w:val="18"/>
              </w:rPr>
            </w:pPr>
            <w:r w:rsidRPr="00A5045C">
              <w:rPr>
                <w:rFonts w:cs="Arial"/>
                <w:b/>
                <w:bCs/>
                <w:szCs w:val="18"/>
              </w:rPr>
              <w:t>Les émetteurs doivent disposer d’un processus permettant de traiter, suivre et gérer les incidents de sécurité. Un tableau de bord de synthèse doit être régulièrement remis aux instances dirigeantes.</w:t>
            </w:r>
          </w:p>
        </w:tc>
        <w:tc>
          <w:tcPr>
            <w:tcW w:w="1350" w:type="dxa"/>
            <w:gridSpan w:val="2"/>
            <w:shd w:val="clear" w:color="000000" w:fill="DDEBF7"/>
            <w:vAlign w:val="center"/>
            <w:hideMark/>
          </w:tcPr>
          <w:p w14:paraId="76F04396" w14:textId="77777777" w:rsidR="00903466" w:rsidRPr="00A5045C" w:rsidRDefault="00903466" w:rsidP="00903466">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7A5DCB82" w14:textId="77777777" w:rsidR="00903466" w:rsidRPr="00A5045C" w:rsidRDefault="00903466" w:rsidP="00903466">
            <w:pPr>
              <w:spacing w:before="0" w:beforeAutospacing="0" w:after="0" w:afterAutospacing="0"/>
              <w:jc w:val="center"/>
              <w:rPr>
                <w:rFonts w:cs="Arial"/>
                <w:szCs w:val="18"/>
              </w:rPr>
            </w:pPr>
          </w:p>
        </w:tc>
      </w:tr>
      <w:tr w:rsidR="00112CE3" w:rsidRPr="001148E2" w14:paraId="6F2DC1D1"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46" w:type="dxa"/>
            <w:gridSpan w:val="2"/>
            <w:vMerge w:val="restart"/>
            <w:shd w:val="clear" w:color="000000" w:fill="FFFFFF"/>
            <w:noWrap/>
            <w:vAlign w:val="center"/>
          </w:tcPr>
          <w:p w14:paraId="116FCB89" w14:textId="77777777" w:rsidR="00112CE3" w:rsidRPr="00A5045C" w:rsidRDefault="00112CE3" w:rsidP="00112CE3">
            <w:pPr>
              <w:jc w:val="center"/>
              <w:rPr>
                <w:rFonts w:cs="Arial"/>
                <w:szCs w:val="18"/>
              </w:rPr>
            </w:pPr>
          </w:p>
        </w:tc>
        <w:tc>
          <w:tcPr>
            <w:tcW w:w="10211" w:type="dxa"/>
            <w:gridSpan w:val="2"/>
            <w:shd w:val="clear" w:color="000000" w:fill="FFFFFF"/>
            <w:noWrap/>
            <w:vAlign w:val="center"/>
            <w:hideMark/>
          </w:tcPr>
          <w:p w14:paraId="08E00A22" w14:textId="77777777" w:rsidR="00112CE3" w:rsidRPr="00A5045C" w:rsidRDefault="00112CE3" w:rsidP="00112CE3">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xml:space="preserve"> s’assure :</w:t>
            </w:r>
          </w:p>
        </w:tc>
        <w:tc>
          <w:tcPr>
            <w:tcW w:w="1350" w:type="dxa"/>
            <w:gridSpan w:val="2"/>
            <w:vMerge w:val="restart"/>
            <w:shd w:val="clear" w:color="000000" w:fill="FF0000"/>
            <w:vAlign w:val="center"/>
            <w:hideMark/>
          </w:tcPr>
          <w:p w14:paraId="15F17925" w14:textId="5AB742AA"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6BC13C28" w14:textId="04403BB0" w:rsidR="00112CE3" w:rsidRPr="00A5045C" w:rsidRDefault="00112CE3" w:rsidP="00112CE3">
            <w:pPr>
              <w:spacing w:before="0" w:beforeAutospacing="0" w:after="0" w:afterAutospacing="0"/>
              <w:jc w:val="center"/>
              <w:rPr>
                <w:rFonts w:cs="Arial"/>
                <w:szCs w:val="18"/>
              </w:rPr>
            </w:pPr>
            <w:r>
              <w:rPr>
                <w:rFonts w:cs="Arial"/>
                <w:color w:val="000000"/>
                <w:szCs w:val="18"/>
              </w:rPr>
              <w:t xml:space="preserve">500 caractères </w:t>
            </w:r>
            <w:r w:rsidR="00D271EB" w:rsidRPr="00146FA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903466" w:rsidRPr="001148E2" w14:paraId="4F2DEB63"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646" w:type="dxa"/>
            <w:gridSpan w:val="2"/>
            <w:vMerge/>
            <w:shd w:val="clear" w:color="000000" w:fill="FFFFFF"/>
            <w:noWrap/>
            <w:vAlign w:val="center"/>
            <w:hideMark/>
          </w:tcPr>
          <w:p w14:paraId="49714F5C" w14:textId="77777777" w:rsidR="00903466" w:rsidRPr="00A5045C" w:rsidRDefault="00903466" w:rsidP="00903466">
            <w:pPr>
              <w:spacing w:before="0" w:after="0"/>
              <w:jc w:val="center"/>
              <w:rPr>
                <w:rFonts w:cs="Arial"/>
                <w:szCs w:val="18"/>
              </w:rPr>
            </w:pPr>
          </w:p>
        </w:tc>
        <w:tc>
          <w:tcPr>
            <w:tcW w:w="10211" w:type="dxa"/>
            <w:gridSpan w:val="2"/>
            <w:shd w:val="clear" w:color="000000" w:fill="FFFFFF"/>
            <w:noWrap/>
            <w:vAlign w:val="center"/>
            <w:hideMark/>
          </w:tcPr>
          <w:p w14:paraId="1AFE4D92" w14:textId="77777777" w:rsidR="00903466" w:rsidRPr="00A5045C" w:rsidRDefault="00903466" w:rsidP="00903466">
            <w:pPr>
              <w:spacing w:before="0" w:beforeAutospacing="0" w:after="0" w:afterAutospacing="0"/>
              <w:jc w:val="both"/>
              <w:rPr>
                <w:rFonts w:cs="Arial"/>
                <w:szCs w:val="18"/>
              </w:rPr>
            </w:pPr>
            <w:r w:rsidRPr="00A5045C">
              <w:rPr>
                <w:rFonts w:cs="Arial"/>
                <w:szCs w:val="18"/>
              </w:rPr>
              <w:t>a) Que les procédures d’enregistrement et de remontée des incidents de sécurité sont correctement documentées avec notamment la classification des niveaux de criticité des incidents et la liste à jour des intervenants ;</w:t>
            </w:r>
          </w:p>
        </w:tc>
        <w:tc>
          <w:tcPr>
            <w:tcW w:w="1350" w:type="dxa"/>
            <w:gridSpan w:val="2"/>
            <w:vMerge/>
            <w:vAlign w:val="center"/>
            <w:hideMark/>
          </w:tcPr>
          <w:p w14:paraId="28F2A904" w14:textId="77777777" w:rsidR="00903466" w:rsidRPr="00A5045C" w:rsidRDefault="00903466" w:rsidP="00903466">
            <w:pPr>
              <w:spacing w:before="0" w:beforeAutospacing="0" w:after="0" w:afterAutospacing="0"/>
              <w:rPr>
                <w:rFonts w:cs="Arial"/>
                <w:szCs w:val="18"/>
              </w:rPr>
            </w:pPr>
          </w:p>
        </w:tc>
        <w:tc>
          <w:tcPr>
            <w:tcW w:w="2545" w:type="dxa"/>
            <w:gridSpan w:val="2"/>
            <w:vMerge/>
            <w:shd w:val="clear" w:color="auto" w:fill="FF0000"/>
            <w:vAlign w:val="center"/>
            <w:hideMark/>
          </w:tcPr>
          <w:p w14:paraId="004AC32B" w14:textId="77777777" w:rsidR="00903466" w:rsidRPr="00A5045C" w:rsidRDefault="00903466" w:rsidP="00903466">
            <w:pPr>
              <w:spacing w:before="0" w:beforeAutospacing="0" w:after="0" w:afterAutospacing="0"/>
              <w:rPr>
                <w:rFonts w:cs="Arial"/>
                <w:szCs w:val="18"/>
              </w:rPr>
            </w:pPr>
          </w:p>
        </w:tc>
      </w:tr>
      <w:tr w:rsidR="00903466" w:rsidRPr="001148E2" w14:paraId="0A3972D1"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46" w:type="dxa"/>
            <w:gridSpan w:val="2"/>
            <w:vMerge/>
            <w:shd w:val="clear" w:color="000000" w:fill="FFFFFF"/>
            <w:noWrap/>
            <w:vAlign w:val="center"/>
            <w:hideMark/>
          </w:tcPr>
          <w:p w14:paraId="2FAC1999" w14:textId="77777777" w:rsidR="00903466" w:rsidRPr="00A5045C" w:rsidRDefault="00903466" w:rsidP="00903466">
            <w:pPr>
              <w:spacing w:before="0" w:after="0"/>
              <w:jc w:val="center"/>
              <w:rPr>
                <w:rFonts w:cs="Arial"/>
                <w:szCs w:val="18"/>
              </w:rPr>
            </w:pPr>
          </w:p>
        </w:tc>
        <w:tc>
          <w:tcPr>
            <w:tcW w:w="10211" w:type="dxa"/>
            <w:gridSpan w:val="2"/>
            <w:shd w:val="clear" w:color="000000" w:fill="FFFFFF"/>
            <w:noWrap/>
            <w:vAlign w:val="center"/>
            <w:hideMark/>
          </w:tcPr>
          <w:p w14:paraId="785EC245" w14:textId="77777777" w:rsidR="00903466" w:rsidRPr="00A5045C" w:rsidRDefault="00903466" w:rsidP="00903466">
            <w:pPr>
              <w:spacing w:before="0" w:beforeAutospacing="0" w:after="0" w:afterAutospacing="0"/>
              <w:jc w:val="both"/>
              <w:rPr>
                <w:rFonts w:cs="Arial"/>
                <w:szCs w:val="18"/>
              </w:rPr>
            </w:pPr>
            <w:r w:rsidRPr="00A5045C">
              <w:rPr>
                <w:rFonts w:cs="Arial"/>
                <w:szCs w:val="18"/>
              </w:rPr>
              <w:t>b) De la fiabilité du processus de remontée, d’enregistrement et de pilotage des incidents de sécurité ;</w:t>
            </w:r>
          </w:p>
        </w:tc>
        <w:tc>
          <w:tcPr>
            <w:tcW w:w="1350" w:type="dxa"/>
            <w:gridSpan w:val="2"/>
            <w:vMerge/>
            <w:vAlign w:val="center"/>
            <w:hideMark/>
          </w:tcPr>
          <w:p w14:paraId="664FBA0A" w14:textId="77777777" w:rsidR="00903466" w:rsidRPr="00A5045C" w:rsidRDefault="00903466" w:rsidP="00903466">
            <w:pPr>
              <w:spacing w:before="0" w:beforeAutospacing="0" w:after="0" w:afterAutospacing="0"/>
              <w:rPr>
                <w:rFonts w:cs="Arial"/>
                <w:szCs w:val="18"/>
              </w:rPr>
            </w:pPr>
          </w:p>
        </w:tc>
        <w:tc>
          <w:tcPr>
            <w:tcW w:w="2545" w:type="dxa"/>
            <w:gridSpan w:val="2"/>
            <w:vMerge/>
            <w:shd w:val="clear" w:color="auto" w:fill="FF0000"/>
            <w:vAlign w:val="center"/>
            <w:hideMark/>
          </w:tcPr>
          <w:p w14:paraId="1BA0FDE8" w14:textId="77777777" w:rsidR="00903466" w:rsidRPr="00A5045C" w:rsidRDefault="00903466" w:rsidP="00903466">
            <w:pPr>
              <w:spacing w:before="0" w:beforeAutospacing="0" w:after="0" w:afterAutospacing="0"/>
              <w:rPr>
                <w:rFonts w:cs="Arial"/>
                <w:szCs w:val="18"/>
              </w:rPr>
            </w:pPr>
          </w:p>
        </w:tc>
      </w:tr>
      <w:tr w:rsidR="00903466" w:rsidRPr="001148E2" w14:paraId="25A9FD0F"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46" w:type="dxa"/>
            <w:gridSpan w:val="2"/>
            <w:vMerge/>
            <w:shd w:val="clear" w:color="000000" w:fill="FFFFFF"/>
            <w:noWrap/>
            <w:vAlign w:val="center"/>
            <w:hideMark/>
          </w:tcPr>
          <w:p w14:paraId="58F684FB" w14:textId="77777777" w:rsidR="00903466" w:rsidRPr="00A5045C" w:rsidRDefault="00903466" w:rsidP="00903466">
            <w:pPr>
              <w:spacing w:before="0" w:after="0"/>
              <w:jc w:val="center"/>
              <w:rPr>
                <w:rFonts w:cs="Arial"/>
                <w:szCs w:val="18"/>
              </w:rPr>
            </w:pPr>
          </w:p>
        </w:tc>
        <w:tc>
          <w:tcPr>
            <w:tcW w:w="10211" w:type="dxa"/>
            <w:gridSpan w:val="2"/>
            <w:shd w:val="clear" w:color="000000" w:fill="FFFFFF"/>
            <w:noWrap/>
            <w:vAlign w:val="center"/>
            <w:hideMark/>
          </w:tcPr>
          <w:p w14:paraId="04586ED9" w14:textId="77777777" w:rsidR="00903466" w:rsidRPr="00A5045C" w:rsidRDefault="00903466" w:rsidP="00903466">
            <w:pPr>
              <w:spacing w:before="0" w:beforeAutospacing="0" w:after="0" w:afterAutospacing="0"/>
              <w:jc w:val="both"/>
              <w:rPr>
                <w:rFonts w:cs="Arial"/>
                <w:szCs w:val="18"/>
              </w:rPr>
            </w:pPr>
            <w:r w:rsidRPr="00A5045C">
              <w:rPr>
                <w:rFonts w:cs="Arial"/>
                <w:szCs w:val="18"/>
              </w:rPr>
              <w:t>c) De la mise en œuvre de plans d’actions correctifs ;</w:t>
            </w:r>
          </w:p>
        </w:tc>
        <w:tc>
          <w:tcPr>
            <w:tcW w:w="1350" w:type="dxa"/>
            <w:gridSpan w:val="2"/>
            <w:vMerge/>
            <w:vAlign w:val="center"/>
            <w:hideMark/>
          </w:tcPr>
          <w:p w14:paraId="4FA13041" w14:textId="77777777" w:rsidR="00903466" w:rsidRPr="00A5045C" w:rsidRDefault="00903466" w:rsidP="00903466">
            <w:pPr>
              <w:spacing w:before="0" w:beforeAutospacing="0" w:after="0" w:afterAutospacing="0"/>
              <w:rPr>
                <w:rFonts w:cs="Arial"/>
                <w:szCs w:val="18"/>
              </w:rPr>
            </w:pPr>
          </w:p>
        </w:tc>
        <w:tc>
          <w:tcPr>
            <w:tcW w:w="2545" w:type="dxa"/>
            <w:gridSpan w:val="2"/>
            <w:vMerge/>
            <w:shd w:val="clear" w:color="auto" w:fill="FF0000"/>
            <w:vAlign w:val="center"/>
            <w:hideMark/>
          </w:tcPr>
          <w:p w14:paraId="75C51B01" w14:textId="77777777" w:rsidR="00903466" w:rsidRPr="00A5045C" w:rsidRDefault="00903466" w:rsidP="00903466">
            <w:pPr>
              <w:spacing w:before="0" w:beforeAutospacing="0" w:after="0" w:afterAutospacing="0"/>
              <w:rPr>
                <w:rFonts w:cs="Arial"/>
                <w:szCs w:val="18"/>
              </w:rPr>
            </w:pPr>
          </w:p>
        </w:tc>
      </w:tr>
      <w:tr w:rsidR="00903466" w:rsidRPr="001148E2" w14:paraId="142BD943"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055E007E" w14:textId="77777777" w:rsidR="00903466" w:rsidRPr="00A5045C" w:rsidRDefault="00903466" w:rsidP="00903466">
            <w:pPr>
              <w:spacing w:before="0" w:beforeAutospacing="0" w:after="0" w:afterAutospacing="0"/>
              <w:jc w:val="center"/>
              <w:rPr>
                <w:rFonts w:cs="Arial"/>
                <w:szCs w:val="18"/>
              </w:rPr>
            </w:pPr>
          </w:p>
        </w:tc>
        <w:tc>
          <w:tcPr>
            <w:tcW w:w="10211" w:type="dxa"/>
            <w:gridSpan w:val="2"/>
            <w:shd w:val="clear" w:color="000000" w:fill="FFFFFF"/>
            <w:noWrap/>
            <w:vAlign w:val="center"/>
            <w:hideMark/>
          </w:tcPr>
          <w:p w14:paraId="0245A5AA" w14:textId="77777777" w:rsidR="00903466" w:rsidRPr="00A5045C" w:rsidRDefault="00903466" w:rsidP="00903466">
            <w:pPr>
              <w:spacing w:before="0" w:beforeAutospacing="0" w:after="0" w:afterAutospacing="0"/>
              <w:jc w:val="both"/>
              <w:rPr>
                <w:rFonts w:cs="Arial"/>
                <w:szCs w:val="18"/>
              </w:rPr>
            </w:pPr>
            <w:r w:rsidRPr="00A5045C">
              <w:rPr>
                <w:rFonts w:cs="Arial"/>
                <w:szCs w:val="18"/>
              </w:rPr>
              <w:t>d) De la transmission périodique aux instances dirigeantes d'un tableau de suivi des incidents et de la mise en œuvre des plans d'actions correctifs.</w:t>
            </w:r>
          </w:p>
        </w:tc>
        <w:tc>
          <w:tcPr>
            <w:tcW w:w="1350" w:type="dxa"/>
            <w:gridSpan w:val="2"/>
            <w:vMerge/>
            <w:vAlign w:val="center"/>
            <w:hideMark/>
          </w:tcPr>
          <w:p w14:paraId="44F10D99" w14:textId="77777777" w:rsidR="00903466" w:rsidRPr="00A5045C" w:rsidRDefault="00903466" w:rsidP="00903466">
            <w:pPr>
              <w:spacing w:before="0" w:beforeAutospacing="0" w:after="0" w:afterAutospacing="0"/>
              <w:rPr>
                <w:rFonts w:cs="Arial"/>
                <w:szCs w:val="18"/>
              </w:rPr>
            </w:pPr>
          </w:p>
        </w:tc>
        <w:tc>
          <w:tcPr>
            <w:tcW w:w="2545" w:type="dxa"/>
            <w:gridSpan w:val="2"/>
            <w:vMerge/>
            <w:shd w:val="clear" w:color="auto" w:fill="FF0000"/>
            <w:vAlign w:val="center"/>
            <w:hideMark/>
          </w:tcPr>
          <w:p w14:paraId="6EA3922E" w14:textId="77777777" w:rsidR="00903466" w:rsidRPr="00A5045C" w:rsidRDefault="00903466" w:rsidP="00903466">
            <w:pPr>
              <w:spacing w:before="0" w:beforeAutospacing="0" w:after="0" w:afterAutospacing="0"/>
              <w:rPr>
                <w:rFonts w:cs="Arial"/>
                <w:szCs w:val="18"/>
              </w:rPr>
            </w:pPr>
          </w:p>
        </w:tc>
      </w:tr>
      <w:tr w:rsidR="00903466" w:rsidRPr="001148E2" w14:paraId="48E7D611"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646" w:type="dxa"/>
            <w:gridSpan w:val="2"/>
            <w:shd w:val="clear" w:color="000000" w:fill="DDEBF7"/>
            <w:noWrap/>
            <w:vAlign w:val="center"/>
            <w:hideMark/>
          </w:tcPr>
          <w:p w14:paraId="713A9E34" w14:textId="77777777" w:rsidR="00903466" w:rsidRPr="00A5045C" w:rsidRDefault="00903466" w:rsidP="00903466">
            <w:pPr>
              <w:spacing w:before="0" w:beforeAutospacing="0" w:after="0" w:afterAutospacing="0"/>
              <w:jc w:val="center"/>
              <w:rPr>
                <w:rFonts w:cs="Arial"/>
                <w:b/>
                <w:bCs/>
                <w:szCs w:val="18"/>
              </w:rPr>
            </w:pPr>
            <w:r w:rsidRPr="00A5045C">
              <w:rPr>
                <w:rFonts w:cs="Arial"/>
                <w:b/>
                <w:bCs/>
                <w:szCs w:val="18"/>
              </w:rPr>
              <w:t xml:space="preserve">3.2 </w:t>
            </w:r>
          </w:p>
        </w:tc>
        <w:tc>
          <w:tcPr>
            <w:tcW w:w="10211" w:type="dxa"/>
            <w:gridSpan w:val="2"/>
            <w:shd w:val="clear" w:color="000000" w:fill="DDEBF7"/>
            <w:noWrap/>
            <w:vAlign w:val="center"/>
            <w:hideMark/>
          </w:tcPr>
          <w:p w14:paraId="70D419F0" w14:textId="77777777" w:rsidR="00903466" w:rsidRPr="00A5045C" w:rsidRDefault="00903466" w:rsidP="00903466">
            <w:pPr>
              <w:spacing w:before="0" w:beforeAutospacing="0" w:after="0" w:afterAutospacing="0"/>
              <w:jc w:val="both"/>
              <w:rPr>
                <w:rFonts w:cs="Arial"/>
                <w:b/>
                <w:bCs/>
                <w:szCs w:val="18"/>
              </w:rPr>
            </w:pPr>
            <w:r w:rsidRPr="00A5045C">
              <w:rPr>
                <w:rFonts w:cs="Arial"/>
                <w:b/>
                <w:bCs/>
                <w:szCs w:val="18"/>
              </w:rPr>
              <w:t xml:space="preserve">Une procédure doit être en place permettant de rapporter un incident à la Banque de France lors de la détection d’un incident de sécurité majeur lié à la gestion des </w:t>
            </w:r>
            <w:r>
              <w:rPr>
                <w:rFonts w:cs="Arial"/>
                <w:b/>
                <w:bCs/>
                <w:szCs w:val="18"/>
              </w:rPr>
              <w:t>TSPD/IPS</w:t>
            </w:r>
            <w:r w:rsidRPr="00A5045C">
              <w:rPr>
                <w:rFonts w:cs="Arial"/>
                <w:b/>
                <w:bCs/>
                <w:szCs w:val="18"/>
              </w:rPr>
              <w:t>.</w:t>
            </w:r>
          </w:p>
        </w:tc>
        <w:tc>
          <w:tcPr>
            <w:tcW w:w="1350" w:type="dxa"/>
            <w:gridSpan w:val="2"/>
            <w:shd w:val="clear" w:color="000000" w:fill="DDEBF7"/>
            <w:vAlign w:val="center"/>
            <w:hideMark/>
          </w:tcPr>
          <w:p w14:paraId="13F3FF81" w14:textId="77777777" w:rsidR="00903466" w:rsidRPr="00A5045C" w:rsidRDefault="00903466" w:rsidP="00903466">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129DC052" w14:textId="77777777" w:rsidR="00903466" w:rsidRPr="00A5045C" w:rsidRDefault="00903466" w:rsidP="00903466">
            <w:pPr>
              <w:spacing w:before="0" w:beforeAutospacing="0" w:after="0" w:afterAutospacing="0"/>
              <w:jc w:val="center"/>
              <w:rPr>
                <w:rFonts w:cs="Arial"/>
                <w:szCs w:val="18"/>
              </w:rPr>
            </w:pPr>
          </w:p>
        </w:tc>
      </w:tr>
      <w:tr w:rsidR="00112CE3" w:rsidRPr="001148E2" w14:paraId="110C6B35"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646" w:type="dxa"/>
            <w:gridSpan w:val="2"/>
            <w:shd w:val="clear" w:color="000000" w:fill="FFFFFF"/>
            <w:noWrap/>
            <w:vAlign w:val="center"/>
            <w:hideMark/>
          </w:tcPr>
          <w:p w14:paraId="010C2093" w14:textId="77777777" w:rsidR="00112CE3" w:rsidRPr="00A5045C" w:rsidRDefault="00112CE3" w:rsidP="00112CE3">
            <w:pPr>
              <w:spacing w:before="0" w:beforeAutospacing="0" w:after="0" w:afterAutospacing="0"/>
              <w:jc w:val="center"/>
              <w:rPr>
                <w:rFonts w:cs="Arial"/>
                <w:szCs w:val="18"/>
              </w:rPr>
            </w:pPr>
            <w:r w:rsidRPr="00A5045C">
              <w:rPr>
                <w:rFonts w:cs="Arial"/>
                <w:szCs w:val="18"/>
              </w:rPr>
              <w:t> </w:t>
            </w:r>
          </w:p>
        </w:tc>
        <w:tc>
          <w:tcPr>
            <w:tcW w:w="10211" w:type="dxa"/>
            <w:gridSpan w:val="2"/>
            <w:shd w:val="clear" w:color="000000" w:fill="FFFFFF"/>
            <w:noWrap/>
            <w:vAlign w:val="center"/>
            <w:hideMark/>
          </w:tcPr>
          <w:p w14:paraId="494A4513" w14:textId="77777777" w:rsidR="00112CE3" w:rsidRPr="00A5045C" w:rsidRDefault="00112CE3" w:rsidP="00112CE3">
            <w:pPr>
              <w:spacing w:before="0" w:beforeAutospacing="0" w:after="0" w:afterAutospacing="0"/>
              <w:jc w:val="both"/>
              <w:rPr>
                <w:rFonts w:cs="Arial"/>
                <w:szCs w:val="18"/>
              </w:rPr>
            </w:pPr>
            <w:r w:rsidRPr="00A5045C">
              <w:rPr>
                <w:rFonts w:cs="Arial"/>
                <w:szCs w:val="18"/>
              </w:rPr>
              <w:t>L’émetteur s’assure que la procédure de remontée des incidents de sécurité majeurs à la Banque de France est documentée avec notamment la liste à jour des intervenants et contacts.</w:t>
            </w:r>
          </w:p>
        </w:tc>
        <w:tc>
          <w:tcPr>
            <w:tcW w:w="1350" w:type="dxa"/>
            <w:gridSpan w:val="2"/>
            <w:shd w:val="clear" w:color="000000" w:fill="FF0000"/>
            <w:vAlign w:val="center"/>
            <w:hideMark/>
          </w:tcPr>
          <w:p w14:paraId="4148C10C" w14:textId="2E61FB7D"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shd w:val="clear" w:color="auto" w:fill="FF0000"/>
            <w:vAlign w:val="center"/>
            <w:hideMark/>
          </w:tcPr>
          <w:p w14:paraId="1F22B1D1" w14:textId="5FECA55E"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903466" w:rsidRPr="001148E2" w14:paraId="77826464"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0"/>
        </w:trPr>
        <w:tc>
          <w:tcPr>
            <w:tcW w:w="646" w:type="dxa"/>
            <w:gridSpan w:val="2"/>
            <w:shd w:val="clear" w:color="000000" w:fill="DDEBF7"/>
            <w:noWrap/>
            <w:vAlign w:val="center"/>
            <w:hideMark/>
          </w:tcPr>
          <w:p w14:paraId="24798049" w14:textId="77777777" w:rsidR="00903466" w:rsidRPr="00A5045C" w:rsidRDefault="00903466" w:rsidP="00903466">
            <w:pPr>
              <w:spacing w:before="0" w:beforeAutospacing="0" w:after="0" w:afterAutospacing="0"/>
              <w:jc w:val="center"/>
              <w:rPr>
                <w:rFonts w:cs="Arial"/>
                <w:b/>
                <w:bCs/>
                <w:szCs w:val="18"/>
              </w:rPr>
            </w:pPr>
            <w:r w:rsidRPr="00A5045C">
              <w:rPr>
                <w:rFonts w:cs="Arial"/>
                <w:b/>
                <w:bCs/>
                <w:szCs w:val="18"/>
              </w:rPr>
              <w:lastRenderedPageBreak/>
              <w:t xml:space="preserve">3.3 </w:t>
            </w:r>
          </w:p>
        </w:tc>
        <w:tc>
          <w:tcPr>
            <w:tcW w:w="10211" w:type="dxa"/>
            <w:gridSpan w:val="2"/>
            <w:shd w:val="clear" w:color="000000" w:fill="DDEBF7"/>
            <w:noWrap/>
            <w:vAlign w:val="center"/>
            <w:hideMark/>
          </w:tcPr>
          <w:p w14:paraId="643B348D" w14:textId="77777777" w:rsidR="00903466" w:rsidRPr="00A5045C" w:rsidRDefault="00903466" w:rsidP="00903466">
            <w:pPr>
              <w:spacing w:before="0" w:beforeAutospacing="0" w:after="0" w:afterAutospacing="0"/>
              <w:jc w:val="both"/>
              <w:rPr>
                <w:rFonts w:cs="Arial"/>
                <w:b/>
                <w:bCs/>
                <w:szCs w:val="18"/>
              </w:rPr>
            </w:pPr>
            <w:r w:rsidRPr="00A5045C">
              <w:rPr>
                <w:rFonts w:cs="Arial"/>
                <w:b/>
                <w:bCs/>
                <w:szCs w:val="18"/>
              </w:rPr>
              <w:t xml:space="preserve">L’émetteur dispose de procédures adaptées à la gestion des types d’incidents identifiés et d’un plan de secours pour les activités de traitement du </w:t>
            </w:r>
            <w:r>
              <w:rPr>
                <w:rFonts w:cs="Arial"/>
                <w:b/>
                <w:bCs/>
                <w:szCs w:val="18"/>
              </w:rPr>
              <w:t>TSPD/IPS</w:t>
            </w:r>
            <w:r w:rsidRPr="00A5045C">
              <w:rPr>
                <w:rFonts w:cs="Arial"/>
                <w:b/>
                <w:bCs/>
                <w:szCs w:val="18"/>
              </w:rPr>
              <w:t>. Ce plan prévoit notamment le périmètre et les modalités de sauvegarde des données, les modalités techniques et organisationnelles du passage en secours, les conditions du fonctionnement (mode normal ou dégradé), les réacheminements éventuels de flux physiques ou logiques et le retour au fonctionnement nominal. En cas de recours à une prestation externalisée, le plan de secours doit prendre en compte la capacité du prestataire à fournir le service rendu.</w:t>
            </w:r>
          </w:p>
        </w:tc>
        <w:tc>
          <w:tcPr>
            <w:tcW w:w="1350" w:type="dxa"/>
            <w:gridSpan w:val="2"/>
            <w:shd w:val="clear" w:color="000000" w:fill="DDEBF7"/>
            <w:vAlign w:val="center"/>
            <w:hideMark/>
          </w:tcPr>
          <w:p w14:paraId="4E5C02BA" w14:textId="77777777" w:rsidR="00903466" w:rsidRPr="00A5045C" w:rsidRDefault="00903466" w:rsidP="00903466">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3AE17CED" w14:textId="77777777" w:rsidR="00903466" w:rsidRPr="00A5045C" w:rsidRDefault="00903466" w:rsidP="00903466">
            <w:pPr>
              <w:spacing w:before="0" w:beforeAutospacing="0" w:after="0" w:afterAutospacing="0"/>
              <w:jc w:val="center"/>
              <w:rPr>
                <w:rFonts w:cs="Arial"/>
                <w:szCs w:val="18"/>
              </w:rPr>
            </w:pPr>
          </w:p>
        </w:tc>
      </w:tr>
      <w:tr w:rsidR="00E23B06" w:rsidRPr="001148E2" w14:paraId="616F791D" w14:textId="77777777" w:rsidTr="009A5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46" w:type="dxa"/>
            <w:gridSpan w:val="2"/>
            <w:shd w:val="clear" w:color="auto" w:fill="DBE5F1" w:themeFill="accent1" w:themeFillTint="33"/>
            <w:noWrap/>
            <w:vAlign w:val="center"/>
          </w:tcPr>
          <w:p w14:paraId="6B6CB0C7" w14:textId="05A54466" w:rsidR="00E23B06" w:rsidRPr="00A5045C" w:rsidRDefault="00E23B06" w:rsidP="00E23B06">
            <w:pPr>
              <w:spacing w:before="0" w:after="0"/>
              <w:jc w:val="center"/>
              <w:rPr>
                <w:rFonts w:cs="Arial"/>
                <w:szCs w:val="18"/>
              </w:rPr>
            </w:pPr>
            <w:r>
              <w:rPr>
                <w:rFonts w:cs="Arial"/>
                <w:szCs w:val="18"/>
              </w:rPr>
              <w:t>3.3.1.</w:t>
            </w:r>
          </w:p>
        </w:tc>
        <w:tc>
          <w:tcPr>
            <w:tcW w:w="10211" w:type="dxa"/>
            <w:gridSpan w:val="2"/>
            <w:shd w:val="clear" w:color="auto" w:fill="DBE5F1" w:themeFill="accent1" w:themeFillTint="33"/>
            <w:noWrap/>
            <w:vAlign w:val="center"/>
          </w:tcPr>
          <w:p w14:paraId="43C6BE86" w14:textId="7DBD2C28" w:rsidR="00E23B06" w:rsidRDefault="00E23B06" w:rsidP="00E23B06">
            <w:pPr>
              <w:spacing w:before="0" w:beforeAutospacing="0" w:after="0" w:afterAutospacing="0"/>
              <w:jc w:val="both"/>
              <w:rPr>
                <w:rFonts w:cs="Arial"/>
                <w:szCs w:val="18"/>
              </w:rPr>
            </w:pPr>
            <w:r>
              <w:rPr>
                <w:rFonts w:cs="Arial"/>
                <w:szCs w:val="18"/>
              </w:rPr>
              <w:t>L</w:t>
            </w:r>
            <w:r w:rsidRPr="00A5045C">
              <w:rPr>
                <w:rFonts w:cs="Arial"/>
                <w:szCs w:val="18"/>
              </w:rPr>
              <w:t>’émetteur dispose d’une procédure de gestion des sauvegardes de données. Il s’assure en particulier :</w:t>
            </w:r>
          </w:p>
        </w:tc>
        <w:tc>
          <w:tcPr>
            <w:tcW w:w="1350" w:type="dxa"/>
            <w:gridSpan w:val="2"/>
            <w:shd w:val="clear" w:color="auto" w:fill="DBE5F1" w:themeFill="accent1" w:themeFillTint="33"/>
            <w:vAlign w:val="center"/>
          </w:tcPr>
          <w:p w14:paraId="3A87FAD0" w14:textId="77777777" w:rsidR="00E23B06" w:rsidRDefault="00E23B06" w:rsidP="00E23B06">
            <w:pPr>
              <w:spacing w:before="0" w:beforeAutospacing="0" w:after="0" w:afterAutospacing="0"/>
              <w:jc w:val="center"/>
              <w:rPr>
                <w:rFonts w:cs="Arial"/>
                <w:szCs w:val="18"/>
              </w:rPr>
            </w:pPr>
          </w:p>
        </w:tc>
        <w:tc>
          <w:tcPr>
            <w:tcW w:w="2545" w:type="dxa"/>
            <w:gridSpan w:val="2"/>
            <w:shd w:val="clear" w:color="auto" w:fill="DBE5F1" w:themeFill="accent1" w:themeFillTint="33"/>
            <w:vAlign w:val="center"/>
          </w:tcPr>
          <w:p w14:paraId="0DADD921" w14:textId="77777777" w:rsidR="00E23B06" w:rsidRDefault="00E23B06" w:rsidP="00E23B06">
            <w:pPr>
              <w:spacing w:before="0" w:beforeAutospacing="0" w:after="0" w:afterAutospacing="0"/>
              <w:jc w:val="center"/>
              <w:rPr>
                <w:rFonts w:cs="Arial"/>
                <w:color w:val="000000"/>
                <w:szCs w:val="18"/>
              </w:rPr>
            </w:pPr>
          </w:p>
        </w:tc>
      </w:tr>
      <w:tr w:rsidR="00112CE3" w:rsidRPr="001148E2" w14:paraId="50CA4C31"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val="restart"/>
            <w:shd w:val="clear" w:color="000000" w:fill="FFFFFF"/>
            <w:noWrap/>
            <w:vAlign w:val="center"/>
            <w:hideMark/>
          </w:tcPr>
          <w:p w14:paraId="0352D542" w14:textId="77777777" w:rsidR="00112CE3" w:rsidRPr="00A5045C" w:rsidRDefault="00112CE3" w:rsidP="00112CE3">
            <w:pPr>
              <w:spacing w:before="0" w:after="0"/>
              <w:jc w:val="center"/>
              <w:rPr>
                <w:rFonts w:cs="Arial"/>
                <w:szCs w:val="18"/>
              </w:rPr>
            </w:pPr>
          </w:p>
        </w:tc>
        <w:tc>
          <w:tcPr>
            <w:tcW w:w="10211" w:type="dxa"/>
            <w:gridSpan w:val="2"/>
            <w:shd w:val="clear" w:color="000000" w:fill="FFFFFF"/>
            <w:noWrap/>
            <w:vAlign w:val="center"/>
            <w:hideMark/>
          </w:tcPr>
          <w:p w14:paraId="1BCBF1C9" w14:textId="77777777" w:rsidR="00112CE3" w:rsidRPr="00A5045C" w:rsidRDefault="00112CE3" w:rsidP="00112CE3">
            <w:pPr>
              <w:spacing w:before="0" w:beforeAutospacing="0" w:after="0" w:afterAutospacing="0"/>
              <w:jc w:val="both"/>
              <w:rPr>
                <w:rFonts w:cs="Arial"/>
                <w:szCs w:val="18"/>
              </w:rPr>
            </w:pPr>
            <w:r w:rsidRPr="00A5045C">
              <w:rPr>
                <w:rFonts w:cs="Arial"/>
                <w:szCs w:val="18"/>
              </w:rPr>
              <w:t>a) De la définition du périmètre des sauvegardes et de la nature des données concernées (par exemple: applications, données, codes sources, paramétrages, etc.)</w:t>
            </w:r>
          </w:p>
        </w:tc>
        <w:tc>
          <w:tcPr>
            <w:tcW w:w="1350" w:type="dxa"/>
            <w:gridSpan w:val="2"/>
            <w:vMerge w:val="restart"/>
            <w:shd w:val="clear" w:color="auto" w:fill="FF0000"/>
            <w:vAlign w:val="center"/>
            <w:hideMark/>
          </w:tcPr>
          <w:p w14:paraId="7A077752" w14:textId="1F52B81E"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0B798AB1" w14:textId="79C9CCA9"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478DFD75"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646" w:type="dxa"/>
            <w:gridSpan w:val="2"/>
            <w:vMerge/>
            <w:shd w:val="clear" w:color="000000" w:fill="FFFFFF"/>
            <w:noWrap/>
            <w:vAlign w:val="center"/>
            <w:hideMark/>
          </w:tcPr>
          <w:p w14:paraId="7BD9CDDC"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6DBB7DDC" w14:textId="77777777" w:rsidR="00545AF2" w:rsidRPr="00A5045C" w:rsidRDefault="00545AF2" w:rsidP="00545AF2">
            <w:pPr>
              <w:spacing w:before="0" w:beforeAutospacing="0" w:after="0" w:afterAutospacing="0"/>
              <w:jc w:val="both"/>
              <w:rPr>
                <w:rFonts w:cs="Arial"/>
                <w:szCs w:val="18"/>
              </w:rPr>
            </w:pPr>
            <w:r w:rsidRPr="00A5045C">
              <w:rPr>
                <w:rFonts w:cs="Arial"/>
                <w:szCs w:val="18"/>
              </w:rPr>
              <w:t>b) Du type de sauvegarde adéquat en fonction de la quantité et de la nature des données concernées. Le type de sauvegarde doit préciser la fréquence (par exemple: duplication en temps réel, quotidienne, hebdomadaire, etc.), la méthode de sauvegarde utilisée (par exemple: synchrone, différentielle, incrémentielle, etc.) ainsi que la localisation et le type de support employé (par exemple: bandes magnétiques externalisées, etc.) ;</w:t>
            </w:r>
          </w:p>
        </w:tc>
        <w:tc>
          <w:tcPr>
            <w:tcW w:w="1350" w:type="dxa"/>
            <w:gridSpan w:val="2"/>
            <w:vMerge/>
            <w:shd w:val="clear" w:color="auto" w:fill="FF0000"/>
            <w:vAlign w:val="center"/>
            <w:hideMark/>
          </w:tcPr>
          <w:p w14:paraId="4CD85463"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222A305C" w14:textId="77777777" w:rsidR="00545AF2" w:rsidRPr="00A5045C" w:rsidRDefault="00545AF2" w:rsidP="00545AF2">
            <w:pPr>
              <w:spacing w:before="0" w:beforeAutospacing="0" w:after="0" w:afterAutospacing="0"/>
              <w:rPr>
                <w:rFonts w:cs="Arial"/>
                <w:szCs w:val="18"/>
              </w:rPr>
            </w:pPr>
          </w:p>
        </w:tc>
      </w:tr>
      <w:tr w:rsidR="00545AF2" w:rsidRPr="001148E2" w14:paraId="4054F042"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2D4148A6"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3C8CC54C" w14:textId="77777777" w:rsidR="00545AF2" w:rsidRPr="00A5045C" w:rsidRDefault="00545AF2" w:rsidP="00545AF2">
            <w:pPr>
              <w:spacing w:before="0" w:beforeAutospacing="0" w:after="0" w:afterAutospacing="0"/>
              <w:jc w:val="both"/>
              <w:rPr>
                <w:rFonts w:cs="Arial"/>
                <w:szCs w:val="18"/>
              </w:rPr>
            </w:pPr>
            <w:r w:rsidRPr="00A5045C">
              <w:rPr>
                <w:rFonts w:cs="Arial"/>
                <w:szCs w:val="18"/>
              </w:rPr>
              <w:t>c) Que les procédures de sauvegarde et les modalités de conservation des données sauvegardées doivent garantir le même niveau de sécurité (intégrité et confidentialité) que pour les données de production;</w:t>
            </w:r>
          </w:p>
        </w:tc>
        <w:tc>
          <w:tcPr>
            <w:tcW w:w="1350" w:type="dxa"/>
            <w:gridSpan w:val="2"/>
            <w:vMerge/>
            <w:shd w:val="clear" w:color="auto" w:fill="FF0000"/>
            <w:vAlign w:val="center"/>
            <w:hideMark/>
          </w:tcPr>
          <w:p w14:paraId="7F79C8E6"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7E1D2D04" w14:textId="77777777" w:rsidR="00545AF2" w:rsidRPr="00A5045C" w:rsidRDefault="00545AF2" w:rsidP="00545AF2">
            <w:pPr>
              <w:spacing w:before="0" w:beforeAutospacing="0" w:after="0" w:afterAutospacing="0"/>
              <w:rPr>
                <w:rFonts w:cs="Arial"/>
                <w:szCs w:val="18"/>
              </w:rPr>
            </w:pPr>
          </w:p>
        </w:tc>
      </w:tr>
      <w:tr w:rsidR="00545AF2" w:rsidRPr="001148E2" w14:paraId="5E3C74E6"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1591ECEB"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1A3ABE27" w14:textId="77777777" w:rsidR="00545AF2" w:rsidRPr="00A5045C" w:rsidRDefault="00545AF2" w:rsidP="00545AF2">
            <w:pPr>
              <w:spacing w:before="0" w:beforeAutospacing="0" w:after="0" w:afterAutospacing="0"/>
              <w:jc w:val="both"/>
              <w:rPr>
                <w:rFonts w:cs="Arial"/>
                <w:szCs w:val="18"/>
              </w:rPr>
            </w:pPr>
            <w:r w:rsidRPr="00A5045C">
              <w:rPr>
                <w:rFonts w:cs="Arial"/>
                <w:szCs w:val="18"/>
              </w:rPr>
              <w:t>d) Que les volumes et les durées de sauvegarde doivent être suivis afin d’anticiper les limites en termes de capacité et, le cas échéant, de faire évoluer les moyens de sauvegarde ;</w:t>
            </w:r>
          </w:p>
        </w:tc>
        <w:tc>
          <w:tcPr>
            <w:tcW w:w="1350" w:type="dxa"/>
            <w:gridSpan w:val="2"/>
            <w:vMerge/>
            <w:shd w:val="clear" w:color="auto" w:fill="FF0000"/>
            <w:vAlign w:val="center"/>
            <w:hideMark/>
          </w:tcPr>
          <w:p w14:paraId="5A9D9C48"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6B81663F" w14:textId="77777777" w:rsidR="00545AF2" w:rsidRPr="00A5045C" w:rsidRDefault="00545AF2" w:rsidP="00545AF2">
            <w:pPr>
              <w:spacing w:before="0" w:beforeAutospacing="0" w:after="0" w:afterAutospacing="0"/>
              <w:rPr>
                <w:rFonts w:cs="Arial"/>
                <w:szCs w:val="18"/>
              </w:rPr>
            </w:pPr>
          </w:p>
        </w:tc>
      </w:tr>
      <w:tr w:rsidR="00545AF2" w:rsidRPr="001148E2" w14:paraId="51A1CD64"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505D78B1"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2CEBEFAD" w14:textId="77777777" w:rsidR="00545AF2" w:rsidRPr="00A5045C" w:rsidRDefault="00545AF2" w:rsidP="00545AF2">
            <w:pPr>
              <w:spacing w:before="0" w:beforeAutospacing="0" w:after="0" w:afterAutospacing="0"/>
              <w:jc w:val="both"/>
              <w:rPr>
                <w:rFonts w:cs="Arial"/>
                <w:szCs w:val="18"/>
              </w:rPr>
            </w:pPr>
            <w:r w:rsidRPr="00A5045C">
              <w:rPr>
                <w:rFonts w:cs="Arial"/>
                <w:szCs w:val="18"/>
              </w:rPr>
              <w:t>e) Que la procédure de sauvegarde doit être revue et testée à chaque modification du système d’information (nouvelles applications,  mises en production, etc.).</w:t>
            </w:r>
          </w:p>
        </w:tc>
        <w:tc>
          <w:tcPr>
            <w:tcW w:w="1350" w:type="dxa"/>
            <w:gridSpan w:val="2"/>
            <w:vMerge/>
            <w:shd w:val="clear" w:color="auto" w:fill="FF0000"/>
            <w:vAlign w:val="center"/>
            <w:hideMark/>
          </w:tcPr>
          <w:p w14:paraId="72567D5C"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7B14377E" w14:textId="77777777" w:rsidR="00545AF2" w:rsidRPr="00A5045C" w:rsidRDefault="00545AF2" w:rsidP="00545AF2">
            <w:pPr>
              <w:spacing w:before="0" w:beforeAutospacing="0" w:after="0" w:afterAutospacing="0"/>
              <w:rPr>
                <w:rFonts w:cs="Arial"/>
                <w:szCs w:val="18"/>
              </w:rPr>
            </w:pPr>
          </w:p>
        </w:tc>
      </w:tr>
      <w:tr w:rsidR="00545AF2" w:rsidRPr="001148E2" w14:paraId="42C34F5B" w14:textId="77777777" w:rsidTr="009A5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shd w:val="clear" w:color="auto" w:fill="DBE5F1" w:themeFill="accent1" w:themeFillTint="33"/>
            <w:noWrap/>
            <w:vAlign w:val="center"/>
          </w:tcPr>
          <w:p w14:paraId="7196B4AD" w14:textId="3DACDC86" w:rsidR="00545AF2" w:rsidRPr="00A5045C" w:rsidRDefault="00545AF2" w:rsidP="00545AF2">
            <w:pPr>
              <w:spacing w:before="0" w:after="0"/>
              <w:jc w:val="center"/>
              <w:rPr>
                <w:rFonts w:cs="Arial"/>
                <w:szCs w:val="18"/>
              </w:rPr>
            </w:pPr>
            <w:r>
              <w:rPr>
                <w:rFonts w:cs="Arial"/>
                <w:szCs w:val="18"/>
              </w:rPr>
              <w:t>3.3.2.</w:t>
            </w:r>
          </w:p>
        </w:tc>
        <w:tc>
          <w:tcPr>
            <w:tcW w:w="10211" w:type="dxa"/>
            <w:gridSpan w:val="2"/>
            <w:shd w:val="clear" w:color="auto" w:fill="DBE5F1" w:themeFill="accent1" w:themeFillTint="33"/>
            <w:noWrap/>
            <w:vAlign w:val="center"/>
          </w:tcPr>
          <w:p w14:paraId="3D9E322E" w14:textId="7714D030" w:rsidR="00545AF2" w:rsidRPr="00A5045C" w:rsidRDefault="00545AF2" w:rsidP="00545AF2">
            <w:pPr>
              <w:spacing w:before="0" w:beforeAutospacing="0" w:after="0" w:afterAutospacing="0"/>
              <w:jc w:val="both"/>
              <w:rPr>
                <w:rFonts w:cs="Arial"/>
                <w:szCs w:val="18"/>
              </w:rPr>
            </w:pPr>
            <w:r w:rsidRPr="00A5045C">
              <w:rPr>
                <w:rFonts w:cs="Arial"/>
                <w:szCs w:val="18"/>
              </w:rPr>
              <w:t>L’émetteur dispose d’un plan de continuité des activités formalisé et testé permettant une reprise des activités selon une stratégie prédéfinie en fonction des scénarios de sinistres identifiés. L’émetteur de TS</w:t>
            </w:r>
            <w:r>
              <w:rPr>
                <w:rFonts w:cs="Arial"/>
                <w:szCs w:val="18"/>
              </w:rPr>
              <w:t>PD/IPS</w:t>
            </w:r>
            <w:r w:rsidRPr="00A5045C">
              <w:rPr>
                <w:rFonts w:cs="Arial"/>
                <w:szCs w:val="18"/>
              </w:rPr>
              <w:t xml:space="preserve"> s’assure à ce titre :</w:t>
            </w:r>
          </w:p>
        </w:tc>
        <w:tc>
          <w:tcPr>
            <w:tcW w:w="1350" w:type="dxa"/>
            <w:gridSpan w:val="2"/>
            <w:shd w:val="clear" w:color="auto" w:fill="DBE5F1" w:themeFill="accent1" w:themeFillTint="33"/>
            <w:vAlign w:val="center"/>
          </w:tcPr>
          <w:p w14:paraId="78F7E6C0" w14:textId="77777777" w:rsidR="00545AF2" w:rsidRPr="00A5045C" w:rsidRDefault="00545AF2" w:rsidP="00545AF2">
            <w:pPr>
              <w:spacing w:before="0" w:beforeAutospacing="0" w:after="0" w:afterAutospacing="0"/>
              <w:rPr>
                <w:rFonts w:cs="Arial"/>
                <w:szCs w:val="18"/>
              </w:rPr>
            </w:pPr>
          </w:p>
        </w:tc>
        <w:tc>
          <w:tcPr>
            <w:tcW w:w="2545" w:type="dxa"/>
            <w:gridSpan w:val="2"/>
            <w:shd w:val="clear" w:color="auto" w:fill="DBE5F1" w:themeFill="accent1" w:themeFillTint="33"/>
            <w:vAlign w:val="center"/>
          </w:tcPr>
          <w:p w14:paraId="595C3DFF" w14:textId="77777777" w:rsidR="00545AF2" w:rsidRPr="00A5045C" w:rsidRDefault="00545AF2" w:rsidP="00545AF2">
            <w:pPr>
              <w:spacing w:before="0" w:beforeAutospacing="0" w:after="0" w:afterAutospacing="0"/>
              <w:rPr>
                <w:rFonts w:cs="Arial"/>
                <w:szCs w:val="18"/>
              </w:rPr>
            </w:pPr>
          </w:p>
        </w:tc>
      </w:tr>
      <w:tr w:rsidR="00112CE3" w:rsidRPr="001148E2" w14:paraId="23E26F66"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val="restart"/>
            <w:shd w:val="clear" w:color="000000" w:fill="FFFFFF"/>
            <w:noWrap/>
            <w:vAlign w:val="center"/>
            <w:hideMark/>
          </w:tcPr>
          <w:p w14:paraId="29C448C7" w14:textId="77777777" w:rsidR="00112CE3" w:rsidRPr="00A5045C" w:rsidRDefault="00112CE3" w:rsidP="00112CE3">
            <w:pPr>
              <w:spacing w:before="0" w:after="0"/>
              <w:jc w:val="center"/>
              <w:rPr>
                <w:rFonts w:cs="Arial"/>
                <w:szCs w:val="18"/>
              </w:rPr>
            </w:pPr>
          </w:p>
        </w:tc>
        <w:tc>
          <w:tcPr>
            <w:tcW w:w="10211" w:type="dxa"/>
            <w:gridSpan w:val="2"/>
            <w:shd w:val="clear" w:color="000000" w:fill="FFFFFF"/>
            <w:noWrap/>
            <w:vAlign w:val="center"/>
          </w:tcPr>
          <w:p w14:paraId="6A28C212" w14:textId="0BA3BAA9" w:rsidR="00112CE3" w:rsidRPr="00A5045C" w:rsidRDefault="00112CE3" w:rsidP="00112CE3">
            <w:pPr>
              <w:spacing w:before="0" w:beforeAutospacing="0" w:after="0" w:afterAutospacing="0"/>
              <w:jc w:val="both"/>
              <w:rPr>
                <w:rFonts w:cs="Arial"/>
                <w:szCs w:val="18"/>
              </w:rPr>
            </w:pPr>
            <w:r w:rsidRPr="00A5045C">
              <w:rPr>
                <w:rFonts w:cs="Arial"/>
                <w:szCs w:val="18"/>
              </w:rPr>
              <w:t>a) de l’identification des scénarios de sinistres majeurs auxquels l’émetteur peut se retrouver confronté (à minima : indisponibilité du SI, indisponibilité des locaux et indisponibilité des ressources humaines) ;</w:t>
            </w:r>
          </w:p>
        </w:tc>
        <w:tc>
          <w:tcPr>
            <w:tcW w:w="1350" w:type="dxa"/>
            <w:gridSpan w:val="2"/>
            <w:vMerge w:val="restart"/>
            <w:shd w:val="clear" w:color="auto" w:fill="FF0000"/>
            <w:vAlign w:val="center"/>
            <w:hideMark/>
          </w:tcPr>
          <w:p w14:paraId="38AA2D31" w14:textId="3B2DA113"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739485EB" w14:textId="24E8E76E"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19B35FE7"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46" w:type="dxa"/>
            <w:gridSpan w:val="2"/>
            <w:vMerge/>
            <w:shd w:val="clear" w:color="000000" w:fill="FFFFFF"/>
            <w:noWrap/>
            <w:vAlign w:val="center"/>
            <w:hideMark/>
          </w:tcPr>
          <w:p w14:paraId="40D86C9A"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49CB33E6" w14:textId="02528EE2" w:rsidR="00545AF2" w:rsidRPr="00A5045C" w:rsidRDefault="00545AF2" w:rsidP="00545AF2">
            <w:pPr>
              <w:spacing w:before="0" w:beforeAutospacing="0" w:after="0" w:afterAutospacing="0"/>
              <w:jc w:val="both"/>
              <w:rPr>
                <w:rFonts w:cs="Arial"/>
                <w:szCs w:val="18"/>
              </w:rPr>
            </w:pPr>
            <w:r w:rsidRPr="00A5045C">
              <w:rPr>
                <w:rFonts w:cs="Arial"/>
                <w:szCs w:val="18"/>
              </w:rPr>
              <w:t>b) de la définition pour chaque processus sensible de leur criticité au travers notamment de la Durée d’Indisponibilité Maximale Admissible (DIMA) et de la Perte de Donnée Maximale Admissible (PDMA) ;</w:t>
            </w:r>
          </w:p>
        </w:tc>
        <w:tc>
          <w:tcPr>
            <w:tcW w:w="1350" w:type="dxa"/>
            <w:gridSpan w:val="2"/>
            <w:vMerge/>
            <w:shd w:val="clear" w:color="auto" w:fill="FF0000"/>
            <w:vAlign w:val="center"/>
            <w:hideMark/>
          </w:tcPr>
          <w:p w14:paraId="1392E43C"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054A97EF" w14:textId="77777777" w:rsidR="00545AF2" w:rsidRPr="00A5045C" w:rsidRDefault="00545AF2" w:rsidP="00545AF2">
            <w:pPr>
              <w:spacing w:before="0" w:beforeAutospacing="0" w:after="0" w:afterAutospacing="0"/>
              <w:rPr>
                <w:rFonts w:cs="Arial"/>
                <w:szCs w:val="18"/>
              </w:rPr>
            </w:pPr>
          </w:p>
        </w:tc>
      </w:tr>
      <w:tr w:rsidR="00545AF2" w:rsidRPr="001148E2" w14:paraId="78EFD28A"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1172DD9D"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7EAC8874" w14:textId="19558BCF" w:rsidR="00545AF2" w:rsidRPr="00A5045C" w:rsidRDefault="00545AF2" w:rsidP="00545AF2">
            <w:pPr>
              <w:spacing w:before="0" w:beforeAutospacing="0" w:after="0" w:afterAutospacing="0"/>
              <w:jc w:val="both"/>
              <w:rPr>
                <w:rFonts w:cs="Arial"/>
                <w:szCs w:val="18"/>
              </w:rPr>
            </w:pPr>
            <w:r w:rsidRPr="00A5045C">
              <w:rPr>
                <w:rFonts w:cs="Arial"/>
                <w:szCs w:val="18"/>
              </w:rPr>
              <w:t>c) de la reprise des objectifs du Plan de Continuité d’Activité (PCA) dans les contrats avec ses prestataires ;</w:t>
            </w:r>
          </w:p>
        </w:tc>
        <w:tc>
          <w:tcPr>
            <w:tcW w:w="1350" w:type="dxa"/>
            <w:gridSpan w:val="2"/>
            <w:vMerge/>
            <w:shd w:val="clear" w:color="auto" w:fill="FF0000"/>
            <w:vAlign w:val="center"/>
            <w:hideMark/>
          </w:tcPr>
          <w:p w14:paraId="3BFBC1BA"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4443D283" w14:textId="77777777" w:rsidR="00545AF2" w:rsidRPr="00A5045C" w:rsidRDefault="00545AF2" w:rsidP="00545AF2">
            <w:pPr>
              <w:spacing w:before="0" w:beforeAutospacing="0" w:after="0" w:afterAutospacing="0"/>
              <w:rPr>
                <w:rFonts w:cs="Arial"/>
                <w:szCs w:val="18"/>
              </w:rPr>
            </w:pPr>
          </w:p>
        </w:tc>
      </w:tr>
      <w:tr w:rsidR="00545AF2" w:rsidRPr="001148E2" w14:paraId="084A90AD"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46" w:type="dxa"/>
            <w:gridSpan w:val="2"/>
            <w:vMerge/>
            <w:shd w:val="clear" w:color="000000" w:fill="FFFFFF"/>
            <w:noWrap/>
            <w:vAlign w:val="center"/>
            <w:hideMark/>
          </w:tcPr>
          <w:p w14:paraId="236CE801"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240D292F" w14:textId="39DF457A" w:rsidR="00545AF2" w:rsidRPr="00A5045C" w:rsidRDefault="00545AF2" w:rsidP="00545AF2">
            <w:pPr>
              <w:spacing w:before="0" w:beforeAutospacing="0" w:after="0" w:afterAutospacing="0"/>
              <w:jc w:val="both"/>
              <w:rPr>
                <w:rFonts w:cs="Arial"/>
                <w:szCs w:val="18"/>
              </w:rPr>
            </w:pPr>
            <w:r w:rsidRPr="00A5045C">
              <w:rPr>
                <w:rFonts w:cs="Arial"/>
                <w:szCs w:val="18"/>
              </w:rPr>
              <w:t>d) de la disponibilité des moyens, en particulier techniques, logistiques et humains, qui sont nécessaires à leur continuité ;</w:t>
            </w:r>
          </w:p>
        </w:tc>
        <w:tc>
          <w:tcPr>
            <w:tcW w:w="1350" w:type="dxa"/>
            <w:gridSpan w:val="2"/>
            <w:vMerge/>
            <w:shd w:val="clear" w:color="auto" w:fill="FF0000"/>
            <w:vAlign w:val="center"/>
            <w:hideMark/>
          </w:tcPr>
          <w:p w14:paraId="27F1BA1B"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7F7D62F7" w14:textId="77777777" w:rsidR="00545AF2" w:rsidRPr="00A5045C" w:rsidRDefault="00545AF2" w:rsidP="00545AF2">
            <w:pPr>
              <w:spacing w:before="0" w:beforeAutospacing="0" w:after="0" w:afterAutospacing="0"/>
              <w:rPr>
                <w:rFonts w:cs="Arial"/>
                <w:szCs w:val="18"/>
              </w:rPr>
            </w:pPr>
          </w:p>
        </w:tc>
      </w:tr>
      <w:tr w:rsidR="00545AF2" w:rsidRPr="001148E2" w14:paraId="5C6B1B90"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46" w:type="dxa"/>
            <w:gridSpan w:val="2"/>
            <w:vMerge/>
            <w:shd w:val="clear" w:color="000000" w:fill="FFFFFF"/>
            <w:noWrap/>
            <w:vAlign w:val="center"/>
            <w:hideMark/>
          </w:tcPr>
          <w:p w14:paraId="2F9CE28A"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30AB899F" w14:textId="51DE2069" w:rsidR="00545AF2" w:rsidRPr="00A5045C" w:rsidRDefault="00545AF2" w:rsidP="00545AF2">
            <w:pPr>
              <w:spacing w:before="0" w:beforeAutospacing="0" w:after="0" w:afterAutospacing="0"/>
              <w:jc w:val="both"/>
              <w:rPr>
                <w:rFonts w:cs="Arial"/>
                <w:szCs w:val="18"/>
              </w:rPr>
            </w:pPr>
            <w:r w:rsidRPr="00A5045C">
              <w:rPr>
                <w:rFonts w:cs="Arial"/>
                <w:szCs w:val="18"/>
              </w:rPr>
              <w:t>e) de l’existence d’un site de repli : celui-ci doit être accessible et disponible dans un délai compatible avec les besoins de reprise des activités, et sa localisation doit assurer un profil de risque différent du site principal ;</w:t>
            </w:r>
          </w:p>
        </w:tc>
        <w:tc>
          <w:tcPr>
            <w:tcW w:w="1350" w:type="dxa"/>
            <w:gridSpan w:val="2"/>
            <w:vMerge/>
            <w:shd w:val="clear" w:color="auto" w:fill="FF0000"/>
            <w:vAlign w:val="center"/>
            <w:hideMark/>
          </w:tcPr>
          <w:p w14:paraId="3FCB6929"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798E1FE9" w14:textId="77777777" w:rsidR="00545AF2" w:rsidRPr="00A5045C" w:rsidRDefault="00545AF2" w:rsidP="00545AF2">
            <w:pPr>
              <w:spacing w:before="0" w:beforeAutospacing="0" w:after="0" w:afterAutospacing="0"/>
              <w:rPr>
                <w:rFonts w:cs="Arial"/>
                <w:szCs w:val="18"/>
              </w:rPr>
            </w:pPr>
          </w:p>
        </w:tc>
      </w:tr>
      <w:tr w:rsidR="00545AF2" w:rsidRPr="001148E2" w14:paraId="69E7D518"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46" w:type="dxa"/>
            <w:gridSpan w:val="2"/>
            <w:vMerge/>
            <w:shd w:val="clear" w:color="000000" w:fill="FFFFFF"/>
            <w:noWrap/>
            <w:vAlign w:val="center"/>
            <w:hideMark/>
          </w:tcPr>
          <w:p w14:paraId="140D4F23"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5DA1B3CD" w14:textId="58B10B18" w:rsidR="00545AF2" w:rsidRPr="00A5045C" w:rsidRDefault="00545AF2" w:rsidP="00545AF2">
            <w:pPr>
              <w:spacing w:before="0" w:beforeAutospacing="0" w:after="0" w:afterAutospacing="0"/>
              <w:jc w:val="both"/>
              <w:rPr>
                <w:rFonts w:cs="Arial"/>
                <w:szCs w:val="18"/>
              </w:rPr>
            </w:pPr>
            <w:r w:rsidRPr="00A5045C">
              <w:rPr>
                <w:rFonts w:cs="Arial"/>
                <w:szCs w:val="18"/>
              </w:rPr>
              <w:t xml:space="preserve">f) de la mise en place d’une cellule de crise chargée de coordonner la mise en œuvre du plan de continuité ; </w:t>
            </w:r>
          </w:p>
        </w:tc>
        <w:tc>
          <w:tcPr>
            <w:tcW w:w="1350" w:type="dxa"/>
            <w:gridSpan w:val="2"/>
            <w:vMerge/>
            <w:shd w:val="clear" w:color="auto" w:fill="FF0000"/>
            <w:vAlign w:val="center"/>
            <w:hideMark/>
          </w:tcPr>
          <w:p w14:paraId="1F7BA142"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64E61606" w14:textId="77777777" w:rsidR="00545AF2" w:rsidRPr="00A5045C" w:rsidRDefault="00545AF2" w:rsidP="00545AF2">
            <w:pPr>
              <w:spacing w:before="0" w:beforeAutospacing="0" w:after="0" w:afterAutospacing="0"/>
              <w:rPr>
                <w:rFonts w:cs="Arial"/>
                <w:szCs w:val="18"/>
              </w:rPr>
            </w:pPr>
          </w:p>
        </w:tc>
      </w:tr>
      <w:tr w:rsidR="00545AF2" w:rsidRPr="001148E2" w14:paraId="53C38E97"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646" w:type="dxa"/>
            <w:gridSpan w:val="2"/>
            <w:vMerge/>
            <w:shd w:val="clear" w:color="000000" w:fill="FFFFFF"/>
            <w:noWrap/>
            <w:vAlign w:val="center"/>
          </w:tcPr>
          <w:p w14:paraId="72DD3393"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tcPr>
          <w:p w14:paraId="2B1085C4" w14:textId="1B441FE6" w:rsidR="00545AF2" w:rsidRPr="00A5045C" w:rsidRDefault="00545AF2" w:rsidP="00545AF2">
            <w:pPr>
              <w:spacing w:before="0" w:beforeAutospacing="0" w:after="0" w:afterAutospacing="0"/>
              <w:jc w:val="both"/>
              <w:rPr>
                <w:rFonts w:cs="Arial"/>
                <w:szCs w:val="18"/>
              </w:rPr>
            </w:pPr>
            <w:r w:rsidRPr="00A5045C">
              <w:rPr>
                <w:rFonts w:cs="Arial"/>
                <w:szCs w:val="18"/>
              </w:rPr>
              <w:t>g) des exercices de secours doivent être régulièrement réalisés ;</w:t>
            </w:r>
          </w:p>
        </w:tc>
        <w:tc>
          <w:tcPr>
            <w:tcW w:w="1350" w:type="dxa"/>
            <w:gridSpan w:val="2"/>
            <w:vMerge/>
            <w:shd w:val="clear" w:color="auto" w:fill="FF0000"/>
            <w:vAlign w:val="center"/>
          </w:tcPr>
          <w:p w14:paraId="33E87151"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tcPr>
          <w:p w14:paraId="77500458" w14:textId="77777777" w:rsidR="00545AF2" w:rsidRPr="00A5045C" w:rsidRDefault="00545AF2" w:rsidP="00545AF2">
            <w:pPr>
              <w:spacing w:before="0" w:beforeAutospacing="0" w:after="0" w:afterAutospacing="0"/>
              <w:rPr>
                <w:rFonts w:cs="Arial"/>
                <w:szCs w:val="18"/>
              </w:rPr>
            </w:pPr>
          </w:p>
        </w:tc>
      </w:tr>
      <w:tr w:rsidR="00545AF2" w:rsidRPr="001148E2" w14:paraId="0E2774B6"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2"/>
        </w:trPr>
        <w:tc>
          <w:tcPr>
            <w:tcW w:w="646" w:type="dxa"/>
            <w:gridSpan w:val="2"/>
            <w:vMerge/>
            <w:shd w:val="clear" w:color="000000" w:fill="FFFFFF"/>
            <w:noWrap/>
            <w:vAlign w:val="center"/>
            <w:hideMark/>
          </w:tcPr>
          <w:p w14:paraId="7DE6EFA7"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hideMark/>
          </w:tcPr>
          <w:p w14:paraId="1F84D620" w14:textId="034D627B" w:rsidR="00545AF2" w:rsidRPr="00A5045C" w:rsidRDefault="00545AF2" w:rsidP="00545AF2">
            <w:pPr>
              <w:spacing w:before="0" w:beforeAutospacing="0" w:after="0" w:afterAutospacing="0"/>
              <w:jc w:val="both"/>
              <w:rPr>
                <w:rFonts w:cs="Arial"/>
                <w:szCs w:val="18"/>
              </w:rPr>
            </w:pPr>
            <w:r w:rsidRPr="00A5045C">
              <w:rPr>
                <w:rFonts w:cs="Arial"/>
                <w:szCs w:val="18"/>
              </w:rPr>
              <w:t>h) que le PCA fait l’objet d’un Maintien en Conditions Opérationnelles (MCO) afin d’évaluer son efficacité, sa cohérence vis-à-vis des exigences des métiers, et de s’assurer que tous les intervenants ont connaissance de leurs rôles. Le MCO doit notamment permettre de vérifier que les informations sont disponibles et à jour, les moyens de communication sont opérationnels et que les prises de décision peuvent s’opérer.</w:t>
            </w:r>
          </w:p>
        </w:tc>
        <w:tc>
          <w:tcPr>
            <w:tcW w:w="1350" w:type="dxa"/>
            <w:gridSpan w:val="2"/>
            <w:vMerge/>
            <w:shd w:val="clear" w:color="auto" w:fill="FF0000"/>
            <w:vAlign w:val="center"/>
            <w:hideMark/>
          </w:tcPr>
          <w:p w14:paraId="4617583A"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08A0714E" w14:textId="77777777" w:rsidR="00545AF2" w:rsidRPr="00A5045C" w:rsidRDefault="00545AF2" w:rsidP="00545AF2">
            <w:pPr>
              <w:spacing w:before="0" w:beforeAutospacing="0" w:after="0" w:afterAutospacing="0"/>
              <w:rPr>
                <w:rFonts w:cs="Arial"/>
                <w:szCs w:val="18"/>
              </w:rPr>
            </w:pPr>
          </w:p>
        </w:tc>
      </w:tr>
      <w:tr w:rsidR="00545AF2" w:rsidRPr="00A826E0" w14:paraId="54053A35" w14:textId="77777777" w:rsidTr="00733123">
        <w:trPr>
          <w:trHeight w:val="276"/>
        </w:trPr>
        <w:tc>
          <w:tcPr>
            <w:tcW w:w="6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AB52683" w14:textId="77777777" w:rsidR="00545AF2" w:rsidRPr="00A826E0" w:rsidRDefault="00545AF2" w:rsidP="00545AF2">
            <w:pPr>
              <w:spacing w:before="0" w:beforeAutospacing="0" w:after="0" w:afterAutospacing="0"/>
              <w:jc w:val="center"/>
              <w:rPr>
                <w:rFonts w:cs="Arial"/>
                <w:b/>
                <w:sz w:val="20"/>
                <w:szCs w:val="18"/>
              </w:rPr>
            </w:pPr>
            <w:r w:rsidRPr="00A826E0">
              <w:rPr>
                <w:rFonts w:cs="Arial"/>
                <w:b/>
                <w:sz w:val="20"/>
                <w:szCs w:val="18"/>
              </w:rPr>
              <w:t>4.</w:t>
            </w:r>
          </w:p>
        </w:tc>
        <w:tc>
          <w:tcPr>
            <w:tcW w:w="14106"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32933281" w14:textId="6819807C" w:rsidR="00545AF2" w:rsidRPr="00A826E0" w:rsidRDefault="00545AF2" w:rsidP="00545AF2">
            <w:pPr>
              <w:spacing w:before="0" w:beforeAutospacing="0" w:after="0" w:afterAutospacing="0"/>
              <w:rPr>
                <w:rFonts w:cs="Arial"/>
                <w:b/>
                <w:sz w:val="20"/>
                <w:szCs w:val="18"/>
              </w:rPr>
            </w:pPr>
            <w:r w:rsidRPr="00A826E0">
              <w:rPr>
                <w:rFonts w:cs="Arial"/>
                <w:b/>
                <w:sz w:val="20"/>
                <w:szCs w:val="18"/>
              </w:rPr>
              <w:t xml:space="preserve">Contrôle et </w:t>
            </w:r>
            <w:r>
              <w:rPr>
                <w:rFonts w:cs="Arial"/>
                <w:b/>
                <w:sz w:val="20"/>
                <w:szCs w:val="18"/>
              </w:rPr>
              <w:t>limitation</w:t>
            </w:r>
            <w:r w:rsidRPr="00A826E0">
              <w:rPr>
                <w:rFonts w:cs="Arial"/>
                <w:b/>
                <w:sz w:val="20"/>
                <w:szCs w:val="18"/>
              </w:rPr>
              <w:t xml:space="preserve"> des risques</w:t>
            </w:r>
          </w:p>
        </w:tc>
      </w:tr>
      <w:tr w:rsidR="00545AF2" w:rsidRPr="001148E2" w14:paraId="7736E4B9" w14:textId="77777777" w:rsidTr="00733123">
        <w:trPr>
          <w:trHeight w:val="72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796D7B2" w14:textId="77777777" w:rsidR="00545AF2" w:rsidRPr="00A5045C" w:rsidRDefault="00545AF2" w:rsidP="00545AF2">
            <w:pPr>
              <w:spacing w:before="0" w:beforeAutospacing="0" w:after="0" w:afterAutospacing="0"/>
              <w:jc w:val="center"/>
              <w:rPr>
                <w:rFonts w:cs="Arial"/>
                <w:b/>
                <w:bCs/>
                <w:szCs w:val="18"/>
              </w:rPr>
            </w:pPr>
            <w:r w:rsidRPr="00A5045C">
              <w:rPr>
                <w:rFonts w:cs="Arial"/>
                <w:b/>
                <w:bCs/>
                <w:szCs w:val="18"/>
              </w:rPr>
              <w:lastRenderedPageBreak/>
              <w:t xml:space="preserve">4.1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0DDBCB4"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 xml:space="preserve">Lors de la conception et de l’exploitation des services liés aux </w:t>
            </w:r>
            <w:r>
              <w:rPr>
                <w:rFonts w:cs="Arial"/>
                <w:b/>
                <w:bCs/>
                <w:szCs w:val="18"/>
              </w:rPr>
              <w:t>TSPD/IPS</w:t>
            </w:r>
            <w:r w:rsidRPr="00A5045C">
              <w:rPr>
                <w:rFonts w:cs="Arial"/>
                <w:b/>
                <w:bCs/>
                <w:szCs w:val="18"/>
              </w:rPr>
              <w:t>, les émetteurs doivent disposer d’un système d’information permettant une séparation des environnements (développement, test et production).</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759D1496"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262BBE79" w14:textId="77777777" w:rsidR="00545AF2" w:rsidRPr="00A5045C" w:rsidRDefault="00545AF2" w:rsidP="00545AF2">
            <w:pPr>
              <w:spacing w:before="0" w:beforeAutospacing="0" w:after="0" w:afterAutospacing="0"/>
              <w:jc w:val="center"/>
              <w:rPr>
                <w:rFonts w:cs="Arial"/>
                <w:szCs w:val="18"/>
              </w:rPr>
            </w:pPr>
          </w:p>
        </w:tc>
      </w:tr>
      <w:tr w:rsidR="00112CE3" w:rsidRPr="001148E2" w14:paraId="70DDA791" w14:textId="77777777" w:rsidTr="006F0D8B">
        <w:trPr>
          <w:trHeight w:val="684"/>
        </w:trPr>
        <w:tc>
          <w:tcPr>
            <w:tcW w:w="6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F172F7" w14:textId="77777777" w:rsidR="00112CE3" w:rsidRPr="00A5045C" w:rsidRDefault="00112CE3" w:rsidP="00112CE3">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D4149E" w14:textId="77777777" w:rsidR="00112CE3" w:rsidRPr="00A5045C" w:rsidRDefault="00112CE3" w:rsidP="00112CE3">
            <w:pPr>
              <w:spacing w:before="0" w:beforeAutospacing="0" w:after="0" w:afterAutospacing="0"/>
              <w:jc w:val="both"/>
              <w:rPr>
                <w:rFonts w:cs="Arial"/>
                <w:szCs w:val="18"/>
              </w:rPr>
            </w:pPr>
            <w:r w:rsidRPr="00A5045C">
              <w:rPr>
                <w:rFonts w:cs="Arial"/>
                <w:szCs w:val="18"/>
              </w:rPr>
              <w:t xml:space="preserve">L’émetteur a mis en œuvre une séparation des environnements (études, test, production) relatifs au système de gestion des </w:t>
            </w:r>
            <w:r>
              <w:rPr>
                <w:rFonts w:cs="Arial"/>
                <w:szCs w:val="18"/>
              </w:rPr>
              <w:t>TSPD/IPS</w:t>
            </w:r>
            <w:r w:rsidRPr="00A5045C">
              <w:rPr>
                <w:rFonts w:cs="Arial"/>
                <w:szCs w:val="18"/>
              </w:rPr>
              <w:t>.</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14:paraId="2F27D5A7" w14:textId="56D0593A"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14:paraId="263C42DC" w14:textId="4B680848" w:rsidR="00112CE3" w:rsidRPr="00A5045C" w:rsidRDefault="00112CE3" w:rsidP="00112CE3">
            <w:pPr>
              <w:spacing w:before="0" w:beforeAutospacing="0" w:after="0" w:afterAutospacing="0"/>
              <w:jc w:val="center"/>
              <w:rPr>
                <w:rFonts w:cs="Arial"/>
                <w:szCs w:val="18"/>
              </w:rPr>
            </w:pPr>
            <w:r>
              <w:rPr>
                <w:rFonts w:cs="Arial"/>
                <w:color w:val="000000"/>
                <w:szCs w:val="18"/>
              </w:rPr>
              <w:t xml:space="preserve">500 caractères </w:t>
            </w:r>
            <w:r w:rsidR="00D271EB" w:rsidRPr="00146FA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545AF2" w:rsidRPr="001148E2" w14:paraId="2BB03918" w14:textId="77777777" w:rsidTr="00733123">
        <w:trPr>
          <w:trHeight w:val="72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27267FB" w14:textId="77777777" w:rsidR="00545AF2" w:rsidRPr="00A5045C" w:rsidRDefault="00545AF2" w:rsidP="00545AF2">
            <w:pPr>
              <w:spacing w:before="0" w:beforeAutospacing="0" w:after="0" w:afterAutospacing="0"/>
              <w:jc w:val="center"/>
              <w:rPr>
                <w:rFonts w:cs="Arial"/>
                <w:b/>
                <w:bCs/>
                <w:szCs w:val="18"/>
              </w:rPr>
            </w:pPr>
            <w:r w:rsidRPr="00A5045C">
              <w:rPr>
                <w:rFonts w:cs="Arial"/>
                <w:b/>
                <w:bCs/>
                <w:szCs w:val="18"/>
              </w:rPr>
              <w:t xml:space="preserve">4.2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A0BB6DC"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Une procédure de gestion des habilitations doit être formalisée, actant notamment le principe du minimum de privilèges acquis par défaut et définissant la politique d’accès aux environnements logiques et physiques sur tout le cycle de vie (attribution, modification, suppression).</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2E731C59"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111347A5" w14:textId="77777777" w:rsidR="00545AF2" w:rsidRPr="00A5045C" w:rsidRDefault="00545AF2" w:rsidP="00545AF2">
            <w:pPr>
              <w:spacing w:before="0" w:beforeAutospacing="0" w:after="0" w:afterAutospacing="0"/>
              <w:jc w:val="center"/>
              <w:rPr>
                <w:rFonts w:cs="Arial"/>
                <w:szCs w:val="18"/>
              </w:rPr>
            </w:pPr>
          </w:p>
        </w:tc>
      </w:tr>
      <w:tr w:rsidR="00112CE3" w:rsidRPr="001148E2" w14:paraId="48411E39" w14:textId="77777777" w:rsidTr="006F0D8B">
        <w:trPr>
          <w:trHeight w:val="828"/>
        </w:trPr>
        <w:tc>
          <w:tcPr>
            <w:tcW w:w="6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8B1162" w14:textId="77777777" w:rsidR="00112CE3" w:rsidRPr="00A5045C" w:rsidRDefault="00112CE3" w:rsidP="00112CE3">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2690E7" w14:textId="13F6AA6C" w:rsidR="00112CE3" w:rsidRPr="00A5045C" w:rsidRDefault="00112CE3" w:rsidP="00112CE3">
            <w:pPr>
              <w:spacing w:before="0" w:beforeAutospacing="0" w:after="0" w:afterAutospacing="0"/>
              <w:jc w:val="both"/>
              <w:rPr>
                <w:rFonts w:cs="Arial"/>
                <w:szCs w:val="18"/>
              </w:rPr>
            </w:pPr>
            <w:r>
              <w:rPr>
                <w:rFonts w:cs="Arial"/>
                <w:szCs w:val="18"/>
              </w:rPr>
              <w:t xml:space="preserve">a) </w:t>
            </w:r>
            <w:r w:rsidRPr="00A5045C">
              <w:rPr>
                <w:rFonts w:cs="Arial"/>
                <w:szCs w:val="18"/>
              </w:rPr>
              <w:t>L’émetteur s’assure que chaque utilisateur du système d’information (salariés, prestataires, intérimaires, etc.…) doit être reconnu par un identifiant unique et personnel.</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7E91BF83" w14:textId="5AE8DADA"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386CFD60" w14:textId="3B2E9F80" w:rsidR="00112CE3" w:rsidRPr="00A5045C" w:rsidRDefault="00112CE3" w:rsidP="00112CE3">
            <w:pPr>
              <w:spacing w:before="0" w:beforeAutospacing="0" w:after="0" w:afterAutospacing="0"/>
              <w:jc w:val="center"/>
              <w:rPr>
                <w:rFonts w:cs="Arial"/>
                <w:szCs w:val="18"/>
              </w:rPr>
            </w:pPr>
            <w:r>
              <w:rPr>
                <w:rFonts w:cs="Arial"/>
                <w:color w:val="000000"/>
                <w:szCs w:val="18"/>
              </w:rPr>
              <w:t xml:space="preserve">500 caractères </w:t>
            </w:r>
            <w:r w:rsidR="00D271EB" w:rsidRPr="00146FA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545AF2" w:rsidRPr="001148E2" w14:paraId="6ACE20C7" w14:textId="77777777" w:rsidTr="006F0D8B">
        <w:trPr>
          <w:trHeight w:val="684"/>
        </w:trPr>
        <w:tc>
          <w:tcPr>
            <w:tcW w:w="646" w:type="dxa"/>
            <w:gridSpan w:val="2"/>
            <w:tcBorders>
              <w:top w:val="single" w:sz="4" w:space="0" w:color="auto"/>
              <w:left w:val="single" w:sz="4" w:space="0" w:color="0070C0"/>
              <w:bottom w:val="single" w:sz="4" w:space="0" w:color="auto"/>
              <w:right w:val="single" w:sz="4" w:space="0" w:color="0070C0"/>
            </w:tcBorders>
            <w:shd w:val="clear" w:color="000000" w:fill="FFFFFF"/>
            <w:noWrap/>
            <w:vAlign w:val="center"/>
            <w:hideMark/>
          </w:tcPr>
          <w:p w14:paraId="05313C17"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nil"/>
              <w:bottom w:val="single" w:sz="4" w:space="0" w:color="auto"/>
              <w:right w:val="single" w:sz="4" w:space="0" w:color="0070C0"/>
            </w:tcBorders>
            <w:shd w:val="clear" w:color="000000" w:fill="FFFFFF"/>
            <w:noWrap/>
            <w:vAlign w:val="center"/>
            <w:hideMark/>
          </w:tcPr>
          <w:p w14:paraId="4CDAE77E" w14:textId="7EA77613" w:rsidR="00545AF2" w:rsidRPr="00A5045C" w:rsidRDefault="00545AF2" w:rsidP="00545AF2">
            <w:pPr>
              <w:spacing w:before="0" w:beforeAutospacing="0" w:after="0" w:afterAutospacing="0"/>
              <w:jc w:val="both"/>
              <w:rPr>
                <w:rFonts w:cs="Arial"/>
                <w:szCs w:val="18"/>
              </w:rPr>
            </w:pPr>
            <w:r>
              <w:rPr>
                <w:rFonts w:cs="Arial"/>
                <w:szCs w:val="18"/>
              </w:rPr>
              <w:t xml:space="preserve">b) </w:t>
            </w:r>
            <w:r w:rsidRPr="00A5045C">
              <w:rPr>
                <w:rFonts w:cs="Arial"/>
                <w:szCs w:val="18"/>
              </w:rPr>
              <w:t xml:space="preserve">Chacun des utilisateurs du système d’information est référencé dans un annuaire central d’habilitations. Les habilitations sont attribuées et régulièrement mises à jour conformément à une procédure de gestion des habilitations et systématiquement soumises à validation hiérarchique. </w:t>
            </w:r>
          </w:p>
        </w:tc>
        <w:tc>
          <w:tcPr>
            <w:tcW w:w="1350" w:type="dxa"/>
            <w:gridSpan w:val="2"/>
            <w:vMerge/>
            <w:tcBorders>
              <w:top w:val="single" w:sz="4" w:space="0" w:color="auto"/>
              <w:left w:val="single" w:sz="4" w:space="0" w:color="0070C0"/>
              <w:bottom w:val="single" w:sz="4" w:space="0" w:color="auto"/>
              <w:right w:val="single" w:sz="4" w:space="0" w:color="0070C0"/>
            </w:tcBorders>
            <w:vAlign w:val="center"/>
            <w:hideMark/>
          </w:tcPr>
          <w:p w14:paraId="04EF9BE7"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0070C0"/>
              <w:bottom w:val="single" w:sz="4" w:space="0" w:color="auto"/>
              <w:right w:val="single" w:sz="4" w:space="0" w:color="0070C0"/>
            </w:tcBorders>
            <w:shd w:val="clear" w:color="auto" w:fill="FF0000"/>
            <w:vAlign w:val="center"/>
            <w:hideMark/>
          </w:tcPr>
          <w:p w14:paraId="773C9933" w14:textId="77777777" w:rsidR="00545AF2" w:rsidRPr="00A5045C" w:rsidRDefault="00545AF2" w:rsidP="00545AF2">
            <w:pPr>
              <w:spacing w:before="0" w:beforeAutospacing="0" w:after="0" w:afterAutospacing="0"/>
              <w:rPr>
                <w:rFonts w:cs="Arial"/>
                <w:szCs w:val="18"/>
              </w:rPr>
            </w:pPr>
          </w:p>
        </w:tc>
      </w:tr>
      <w:tr w:rsidR="00545AF2" w:rsidRPr="001148E2" w14:paraId="4E077E96" w14:textId="77777777" w:rsidTr="00733123">
        <w:trPr>
          <w:trHeight w:val="48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0CC57D3" w14:textId="77777777" w:rsidR="00545AF2" w:rsidRPr="00A5045C" w:rsidRDefault="00545AF2" w:rsidP="00545AF2">
            <w:pPr>
              <w:spacing w:before="0" w:beforeAutospacing="0" w:after="0" w:afterAutospacing="0"/>
              <w:jc w:val="center"/>
              <w:rPr>
                <w:rFonts w:cs="Arial"/>
                <w:b/>
                <w:bCs/>
                <w:szCs w:val="18"/>
              </w:rPr>
            </w:pPr>
            <w:r w:rsidRPr="00A5045C">
              <w:rPr>
                <w:rFonts w:cs="Arial"/>
                <w:b/>
                <w:bCs/>
                <w:szCs w:val="18"/>
              </w:rPr>
              <w:t xml:space="preserve">4.3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A51F1ED"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Les émetteurs doivent disposer de solutions appropriées permettant de protéger les infrastructures de communication (réseau, intranet, serveurs, etc.) contre les tentatives d’attaques.</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74BAD462"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3E729D40" w14:textId="77777777" w:rsidR="00545AF2" w:rsidRPr="00A5045C" w:rsidRDefault="00545AF2" w:rsidP="00545AF2">
            <w:pPr>
              <w:spacing w:before="0" w:beforeAutospacing="0" w:after="0" w:afterAutospacing="0"/>
              <w:jc w:val="center"/>
              <w:rPr>
                <w:rFonts w:cs="Arial"/>
                <w:szCs w:val="18"/>
              </w:rPr>
            </w:pPr>
          </w:p>
        </w:tc>
      </w:tr>
      <w:tr w:rsidR="00112CE3" w:rsidRPr="001148E2" w14:paraId="628A9A2F" w14:textId="77777777" w:rsidTr="006F0D8B">
        <w:trPr>
          <w:trHeight w:val="456"/>
        </w:trPr>
        <w:tc>
          <w:tcPr>
            <w:tcW w:w="646" w:type="dxa"/>
            <w:gridSpan w:val="2"/>
            <w:vMerge w:val="restart"/>
            <w:tcBorders>
              <w:top w:val="single" w:sz="4" w:space="0" w:color="auto"/>
              <w:left w:val="single" w:sz="4" w:space="0" w:color="auto"/>
              <w:right w:val="single" w:sz="4" w:space="0" w:color="auto"/>
            </w:tcBorders>
            <w:shd w:val="clear" w:color="000000" w:fill="FFFFFF"/>
            <w:noWrap/>
            <w:vAlign w:val="center"/>
          </w:tcPr>
          <w:p w14:paraId="10900E45" w14:textId="77777777" w:rsidR="00112CE3" w:rsidRPr="00A5045C" w:rsidRDefault="00112CE3" w:rsidP="00112CE3">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803560" w14:textId="77777777" w:rsidR="00112CE3" w:rsidRPr="00A5045C" w:rsidRDefault="00112CE3" w:rsidP="00112CE3">
            <w:pPr>
              <w:spacing w:before="0" w:beforeAutospacing="0" w:after="0" w:afterAutospacing="0"/>
              <w:jc w:val="both"/>
              <w:rPr>
                <w:rFonts w:cs="Arial"/>
                <w:szCs w:val="18"/>
              </w:rPr>
            </w:pPr>
            <w:r w:rsidRPr="00A5045C">
              <w:rPr>
                <w:rFonts w:cs="Arial"/>
                <w:szCs w:val="18"/>
              </w:rPr>
              <w:t xml:space="preserve">L’émission de </w:t>
            </w:r>
            <w:r>
              <w:rPr>
                <w:rFonts w:cs="Arial"/>
                <w:szCs w:val="18"/>
              </w:rPr>
              <w:t>TSPD/IPS</w:t>
            </w:r>
            <w:r w:rsidRPr="00A5045C">
              <w:rPr>
                <w:rFonts w:cs="Arial"/>
                <w:szCs w:val="18"/>
              </w:rPr>
              <w:t xml:space="preserve"> requiert l’utilisation d’un système de gestion informatisé des titres dématérialisés, lequel devant être protégé contre les tentatives d’attaque:</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2E8C6237" w14:textId="15F14B65"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5AA0B69D" w14:textId="4F6026C9"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69903772" w14:textId="77777777" w:rsidTr="006F0D8B">
        <w:trPr>
          <w:trHeight w:val="456"/>
        </w:trPr>
        <w:tc>
          <w:tcPr>
            <w:tcW w:w="646" w:type="dxa"/>
            <w:gridSpan w:val="2"/>
            <w:vMerge/>
            <w:tcBorders>
              <w:left w:val="single" w:sz="4" w:space="0" w:color="auto"/>
              <w:right w:val="single" w:sz="4" w:space="0" w:color="auto"/>
            </w:tcBorders>
            <w:shd w:val="clear" w:color="000000" w:fill="FFFFFF"/>
            <w:noWrap/>
            <w:vAlign w:val="center"/>
            <w:hideMark/>
          </w:tcPr>
          <w:p w14:paraId="7A49E9DE" w14:textId="77777777" w:rsidR="00545AF2" w:rsidRPr="00A5045C" w:rsidRDefault="00545AF2" w:rsidP="00545AF2">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9DDFF7" w14:textId="77777777" w:rsidR="00545AF2" w:rsidRPr="00A5045C" w:rsidRDefault="00545AF2" w:rsidP="00545AF2">
            <w:pPr>
              <w:spacing w:before="0" w:beforeAutospacing="0" w:after="0" w:afterAutospacing="0"/>
              <w:jc w:val="both"/>
              <w:rPr>
                <w:rFonts w:cs="Arial"/>
                <w:szCs w:val="18"/>
              </w:rPr>
            </w:pPr>
            <w:r w:rsidRPr="00A5045C">
              <w:rPr>
                <w:rFonts w:cs="Arial"/>
                <w:szCs w:val="18"/>
              </w:rPr>
              <w:t>a) sur les infrastructures réseau de l’émetteur : celui-ci doit veiller à la correcte installation et maintenance des équipements réseau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43A5B303"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46D16158" w14:textId="77777777" w:rsidR="00545AF2" w:rsidRPr="00A5045C" w:rsidRDefault="00545AF2" w:rsidP="00545AF2">
            <w:pPr>
              <w:spacing w:before="0" w:beforeAutospacing="0" w:after="0" w:afterAutospacing="0"/>
              <w:rPr>
                <w:rFonts w:cs="Arial"/>
                <w:szCs w:val="18"/>
              </w:rPr>
            </w:pPr>
          </w:p>
        </w:tc>
      </w:tr>
      <w:tr w:rsidR="00545AF2" w:rsidRPr="001148E2" w14:paraId="41BBF2D2" w14:textId="77777777" w:rsidTr="006F0D8B">
        <w:trPr>
          <w:trHeight w:val="456"/>
        </w:trPr>
        <w:tc>
          <w:tcPr>
            <w:tcW w:w="646" w:type="dxa"/>
            <w:gridSpan w:val="2"/>
            <w:vMerge/>
            <w:tcBorders>
              <w:left w:val="single" w:sz="4" w:space="0" w:color="auto"/>
              <w:bottom w:val="single" w:sz="4" w:space="0" w:color="auto"/>
              <w:right w:val="single" w:sz="4" w:space="0" w:color="auto"/>
            </w:tcBorders>
            <w:shd w:val="clear" w:color="000000" w:fill="FFFFFF"/>
            <w:noWrap/>
            <w:vAlign w:val="center"/>
            <w:hideMark/>
          </w:tcPr>
          <w:p w14:paraId="5CABFF62" w14:textId="77777777" w:rsidR="00545AF2" w:rsidRPr="00A5045C" w:rsidRDefault="00545AF2" w:rsidP="00545AF2">
            <w:pPr>
              <w:spacing w:before="0" w:beforeAutospacing="0" w:after="0" w:afterAutospacing="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12CD1" w14:textId="77777777" w:rsidR="00545AF2" w:rsidRPr="00A5045C" w:rsidRDefault="00545AF2" w:rsidP="00545AF2">
            <w:pPr>
              <w:spacing w:before="0" w:beforeAutospacing="0" w:after="0" w:afterAutospacing="0"/>
              <w:jc w:val="both"/>
              <w:rPr>
                <w:rFonts w:cs="Arial"/>
                <w:szCs w:val="18"/>
              </w:rPr>
            </w:pPr>
            <w:r w:rsidRPr="00A5045C">
              <w:rPr>
                <w:rFonts w:cs="Arial"/>
                <w:szCs w:val="18"/>
              </w:rPr>
              <w:t>b) sur les applications en veillant à installer les mises à jour des systèmes d'exploitation et des antivirus et à protéger les codes sources.</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09D11C14"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362EF00D" w14:textId="77777777" w:rsidR="00545AF2" w:rsidRPr="00A5045C" w:rsidRDefault="00545AF2" w:rsidP="00545AF2">
            <w:pPr>
              <w:spacing w:before="0" w:beforeAutospacing="0" w:after="0" w:afterAutospacing="0"/>
              <w:rPr>
                <w:rFonts w:cs="Arial"/>
                <w:szCs w:val="18"/>
              </w:rPr>
            </w:pPr>
          </w:p>
        </w:tc>
      </w:tr>
      <w:tr w:rsidR="00545AF2" w:rsidRPr="001148E2" w14:paraId="3BD64C39" w14:textId="77777777" w:rsidTr="00733123">
        <w:trPr>
          <w:trHeight w:val="48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25F42CC" w14:textId="77777777" w:rsidR="00545AF2" w:rsidRPr="00A5045C" w:rsidRDefault="00545AF2" w:rsidP="00545AF2">
            <w:pPr>
              <w:spacing w:before="0" w:beforeAutospacing="0" w:after="0" w:afterAutospacing="0"/>
              <w:jc w:val="center"/>
              <w:rPr>
                <w:rFonts w:cs="Arial"/>
                <w:b/>
                <w:bCs/>
                <w:szCs w:val="18"/>
              </w:rPr>
            </w:pPr>
            <w:r w:rsidRPr="00A5045C">
              <w:rPr>
                <w:rFonts w:cs="Arial"/>
                <w:b/>
                <w:bCs/>
                <w:szCs w:val="18"/>
              </w:rPr>
              <w:t xml:space="preserve">4.4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B926426"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Lors de la conception des services, les émetteurs doivent veiller à ce que le minimum de données sensibles soit impliqué dans chacun des processus fonctionnels.</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3A18F00E"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69BE1270" w14:textId="77777777" w:rsidR="00545AF2" w:rsidRPr="00A5045C" w:rsidRDefault="00545AF2" w:rsidP="00545AF2">
            <w:pPr>
              <w:spacing w:before="0" w:beforeAutospacing="0" w:after="0" w:afterAutospacing="0"/>
              <w:jc w:val="center"/>
              <w:rPr>
                <w:rFonts w:cs="Arial"/>
                <w:szCs w:val="18"/>
              </w:rPr>
            </w:pPr>
          </w:p>
        </w:tc>
      </w:tr>
      <w:tr w:rsidR="00112CE3" w:rsidRPr="001148E2" w14:paraId="3710F66A" w14:textId="77777777" w:rsidTr="006F0D8B">
        <w:trPr>
          <w:trHeight w:val="684"/>
        </w:trPr>
        <w:tc>
          <w:tcPr>
            <w:tcW w:w="6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36F203" w14:textId="77777777" w:rsidR="00112CE3" w:rsidRPr="00A5045C" w:rsidRDefault="00112CE3" w:rsidP="00112CE3">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EF25A0" w14:textId="77777777" w:rsidR="00112CE3" w:rsidRPr="00A5045C" w:rsidRDefault="00112CE3" w:rsidP="00112CE3">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xml:space="preserve"> s’assure que les données sensibles ne sont pas utilisées inutilement dans un processus afin de préserver leur intégrité et confidentialité.</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14:paraId="4E831802" w14:textId="68CEF002"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14:paraId="163CD701" w14:textId="4998D8B4"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3D621816" w14:textId="77777777" w:rsidTr="00733123">
        <w:trPr>
          <w:trHeight w:val="96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0CA0B10" w14:textId="77777777" w:rsidR="00545AF2" w:rsidRPr="00A5045C" w:rsidRDefault="00545AF2" w:rsidP="00545AF2">
            <w:pPr>
              <w:spacing w:before="0" w:beforeAutospacing="0" w:after="0" w:afterAutospacing="0"/>
              <w:jc w:val="center"/>
              <w:rPr>
                <w:rFonts w:cs="Arial"/>
                <w:b/>
                <w:bCs/>
                <w:szCs w:val="18"/>
              </w:rPr>
            </w:pPr>
            <w:r w:rsidRPr="00A5045C">
              <w:rPr>
                <w:rFonts w:cs="Arial"/>
                <w:b/>
                <w:bCs/>
                <w:szCs w:val="18"/>
              </w:rPr>
              <w:t xml:space="preserve">4.5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2173464"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Les mesures de sécurité mises en place pour réaliser la transaction de paiement doivent être testées par l’entité en charge des fonctions de contrôle afin de valider leur robustesse et leur efficacité. Toute modification de ces mesures doit être validée dans un processus planifié, formalisé et documenté.</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4F41900F"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21405DFB" w14:textId="77777777" w:rsidR="00545AF2" w:rsidRPr="00A5045C" w:rsidRDefault="00545AF2" w:rsidP="00545AF2">
            <w:pPr>
              <w:spacing w:before="0" w:beforeAutospacing="0" w:after="0" w:afterAutospacing="0"/>
              <w:jc w:val="center"/>
              <w:rPr>
                <w:rFonts w:cs="Arial"/>
                <w:szCs w:val="18"/>
              </w:rPr>
            </w:pPr>
          </w:p>
        </w:tc>
      </w:tr>
      <w:tr w:rsidR="00112CE3" w:rsidRPr="001148E2" w14:paraId="25805594" w14:textId="77777777" w:rsidTr="006F0D8B">
        <w:trPr>
          <w:trHeight w:val="288"/>
        </w:trPr>
        <w:tc>
          <w:tcPr>
            <w:tcW w:w="646" w:type="dxa"/>
            <w:gridSpan w:val="2"/>
            <w:vMerge w:val="restart"/>
            <w:tcBorders>
              <w:top w:val="single" w:sz="4" w:space="0" w:color="auto"/>
              <w:left w:val="single" w:sz="4" w:space="0" w:color="auto"/>
              <w:right w:val="single" w:sz="4" w:space="0" w:color="auto"/>
            </w:tcBorders>
            <w:shd w:val="clear" w:color="000000" w:fill="FFFFFF"/>
            <w:noWrap/>
            <w:vAlign w:val="center"/>
          </w:tcPr>
          <w:p w14:paraId="7742DCC7" w14:textId="77777777" w:rsidR="00112CE3" w:rsidRPr="00A5045C" w:rsidRDefault="00112CE3" w:rsidP="00112CE3">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1CC7DC" w14:textId="77777777" w:rsidR="00112CE3" w:rsidRPr="00A5045C" w:rsidRDefault="00112CE3" w:rsidP="00112CE3">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xml:space="preserve"> doit s’assurer que les mesures de sécurité mises en place :</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7A2C2FA4" w14:textId="245D9A24"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0C2C95ED" w14:textId="38B73600" w:rsidR="00112CE3" w:rsidRPr="00A5045C" w:rsidRDefault="00112CE3" w:rsidP="00112CE3">
            <w:pPr>
              <w:spacing w:before="0" w:beforeAutospacing="0" w:after="0" w:afterAutospacing="0"/>
              <w:jc w:val="center"/>
              <w:rPr>
                <w:rFonts w:cs="Arial"/>
                <w:szCs w:val="18"/>
              </w:rPr>
            </w:pPr>
            <w:r>
              <w:rPr>
                <w:rFonts w:cs="Arial"/>
                <w:color w:val="000000"/>
                <w:szCs w:val="18"/>
              </w:rPr>
              <w:t xml:space="preserve">500 caractères </w:t>
            </w:r>
            <w:r w:rsidR="00D271EB" w:rsidRPr="00146FA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545AF2" w:rsidRPr="001148E2" w14:paraId="0D2974D7" w14:textId="77777777" w:rsidTr="006F0D8B">
        <w:trPr>
          <w:trHeight w:val="276"/>
        </w:trPr>
        <w:tc>
          <w:tcPr>
            <w:tcW w:w="646" w:type="dxa"/>
            <w:gridSpan w:val="2"/>
            <w:vMerge/>
            <w:tcBorders>
              <w:left w:val="single" w:sz="4" w:space="0" w:color="auto"/>
              <w:right w:val="single" w:sz="4" w:space="0" w:color="auto"/>
            </w:tcBorders>
            <w:shd w:val="clear" w:color="000000" w:fill="FFFFFF"/>
            <w:noWrap/>
            <w:vAlign w:val="center"/>
            <w:hideMark/>
          </w:tcPr>
          <w:p w14:paraId="475FD63F" w14:textId="77777777" w:rsidR="00545AF2" w:rsidRPr="00A5045C" w:rsidRDefault="00545AF2" w:rsidP="00545AF2">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AB13AA" w14:textId="77777777" w:rsidR="00545AF2" w:rsidRPr="00A5045C" w:rsidRDefault="00545AF2" w:rsidP="00545AF2">
            <w:pPr>
              <w:spacing w:before="0" w:beforeAutospacing="0" w:after="0" w:afterAutospacing="0"/>
              <w:jc w:val="both"/>
              <w:rPr>
                <w:rFonts w:cs="Arial"/>
                <w:szCs w:val="18"/>
              </w:rPr>
            </w:pPr>
            <w:r w:rsidRPr="00A5045C">
              <w:rPr>
                <w:rFonts w:cs="Arial"/>
                <w:szCs w:val="18"/>
              </w:rPr>
              <w:t>a) sont bien intégrées au périmètre du responsable de la sécurité des systèmes d’information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381E465D"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7C7E1CF2" w14:textId="77777777" w:rsidR="00545AF2" w:rsidRPr="00A5045C" w:rsidRDefault="00545AF2" w:rsidP="00545AF2">
            <w:pPr>
              <w:spacing w:before="0" w:beforeAutospacing="0" w:after="0" w:afterAutospacing="0"/>
              <w:rPr>
                <w:rFonts w:cs="Arial"/>
                <w:szCs w:val="18"/>
              </w:rPr>
            </w:pPr>
          </w:p>
        </w:tc>
      </w:tr>
      <w:tr w:rsidR="00545AF2" w:rsidRPr="001148E2" w14:paraId="2BDEEEA0" w14:textId="77777777" w:rsidTr="006F0D8B">
        <w:trPr>
          <w:trHeight w:val="276"/>
        </w:trPr>
        <w:tc>
          <w:tcPr>
            <w:tcW w:w="646" w:type="dxa"/>
            <w:gridSpan w:val="2"/>
            <w:vMerge/>
            <w:tcBorders>
              <w:left w:val="single" w:sz="4" w:space="0" w:color="auto"/>
              <w:right w:val="single" w:sz="4" w:space="0" w:color="auto"/>
            </w:tcBorders>
            <w:shd w:val="clear" w:color="000000" w:fill="FFFFFF"/>
            <w:noWrap/>
            <w:vAlign w:val="center"/>
            <w:hideMark/>
          </w:tcPr>
          <w:p w14:paraId="0A741894" w14:textId="77777777" w:rsidR="00545AF2" w:rsidRPr="00A5045C" w:rsidRDefault="00545AF2" w:rsidP="00545AF2">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DF8949" w14:textId="77777777" w:rsidR="00545AF2" w:rsidRPr="00A5045C" w:rsidRDefault="00545AF2" w:rsidP="00545AF2">
            <w:pPr>
              <w:spacing w:before="0" w:beforeAutospacing="0" w:after="0" w:afterAutospacing="0"/>
              <w:jc w:val="both"/>
              <w:rPr>
                <w:rFonts w:cs="Arial"/>
                <w:szCs w:val="18"/>
              </w:rPr>
            </w:pPr>
            <w:r w:rsidRPr="00A5045C">
              <w:rPr>
                <w:rFonts w:cs="Arial"/>
                <w:szCs w:val="18"/>
              </w:rPr>
              <w:t>b) ont bien été testées quant à leur robustesse et efficacité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74A26CBD"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163289D8" w14:textId="77777777" w:rsidR="00545AF2" w:rsidRPr="00A5045C" w:rsidRDefault="00545AF2" w:rsidP="00545AF2">
            <w:pPr>
              <w:spacing w:before="0" w:beforeAutospacing="0" w:after="0" w:afterAutospacing="0"/>
              <w:rPr>
                <w:rFonts w:cs="Arial"/>
                <w:szCs w:val="18"/>
              </w:rPr>
            </w:pPr>
          </w:p>
        </w:tc>
      </w:tr>
      <w:tr w:rsidR="00545AF2" w:rsidRPr="001148E2" w14:paraId="0939417C" w14:textId="77777777" w:rsidTr="006F0D8B">
        <w:trPr>
          <w:trHeight w:val="276"/>
        </w:trPr>
        <w:tc>
          <w:tcPr>
            <w:tcW w:w="646" w:type="dxa"/>
            <w:gridSpan w:val="2"/>
            <w:vMerge/>
            <w:tcBorders>
              <w:left w:val="single" w:sz="4" w:space="0" w:color="auto"/>
              <w:bottom w:val="single" w:sz="4" w:space="0" w:color="auto"/>
              <w:right w:val="single" w:sz="4" w:space="0" w:color="auto"/>
            </w:tcBorders>
            <w:shd w:val="clear" w:color="000000" w:fill="FFFFFF"/>
            <w:noWrap/>
            <w:vAlign w:val="center"/>
            <w:hideMark/>
          </w:tcPr>
          <w:p w14:paraId="22752AB9" w14:textId="77777777" w:rsidR="00545AF2" w:rsidRPr="00A5045C" w:rsidRDefault="00545AF2" w:rsidP="00545AF2">
            <w:pPr>
              <w:spacing w:before="0" w:beforeAutospacing="0" w:after="0" w:afterAutospacing="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F4B056" w14:textId="77777777" w:rsidR="00545AF2" w:rsidRPr="00A5045C" w:rsidRDefault="00545AF2" w:rsidP="00545AF2">
            <w:pPr>
              <w:spacing w:before="0" w:beforeAutospacing="0" w:after="0" w:afterAutospacing="0"/>
              <w:jc w:val="both"/>
              <w:rPr>
                <w:rFonts w:cs="Arial"/>
                <w:szCs w:val="18"/>
              </w:rPr>
            </w:pPr>
            <w:r w:rsidRPr="00A5045C">
              <w:rPr>
                <w:rFonts w:cs="Arial"/>
                <w:szCs w:val="18"/>
              </w:rPr>
              <w:t>c) font régulièrement l’objet d’une procédure de mise à jour.</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5D1D7E66"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4F8700DF" w14:textId="77777777" w:rsidR="00545AF2" w:rsidRPr="00A5045C" w:rsidRDefault="00545AF2" w:rsidP="00545AF2">
            <w:pPr>
              <w:spacing w:before="0" w:beforeAutospacing="0" w:after="0" w:afterAutospacing="0"/>
              <w:rPr>
                <w:rFonts w:cs="Arial"/>
                <w:szCs w:val="18"/>
              </w:rPr>
            </w:pPr>
          </w:p>
        </w:tc>
      </w:tr>
      <w:tr w:rsidR="00545AF2" w:rsidRPr="001148E2" w14:paraId="62230809" w14:textId="77777777" w:rsidTr="00733123">
        <w:trPr>
          <w:trHeight w:val="96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491D6AF" w14:textId="77777777" w:rsidR="00545AF2" w:rsidRPr="00A5045C" w:rsidRDefault="00545AF2" w:rsidP="00545AF2">
            <w:pPr>
              <w:spacing w:before="0" w:beforeAutospacing="0" w:after="0" w:afterAutospacing="0"/>
              <w:jc w:val="center"/>
              <w:rPr>
                <w:rFonts w:cs="Arial"/>
                <w:b/>
                <w:bCs/>
                <w:szCs w:val="18"/>
              </w:rPr>
            </w:pPr>
            <w:r w:rsidRPr="00A5045C">
              <w:rPr>
                <w:rFonts w:cs="Arial"/>
                <w:b/>
                <w:bCs/>
                <w:szCs w:val="18"/>
              </w:rPr>
              <w:lastRenderedPageBreak/>
              <w:t xml:space="preserve">4.6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9E5F0F6"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 xml:space="preserve">Les mesures de sécurité mises en œuvre sur les </w:t>
            </w:r>
            <w:r>
              <w:rPr>
                <w:rFonts w:cs="Arial"/>
                <w:b/>
                <w:bCs/>
                <w:szCs w:val="18"/>
              </w:rPr>
              <w:t>TSPD/IPS</w:t>
            </w:r>
            <w:r w:rsidRPr="00A5045C">
              <w:rPr>
                <w:rFonts w:cs="Arial"/>
                <w:b/>
                <w:bCs/>
                <w:szCs w:val="18"/>
              </w:rPr>
              <w:t xml:space="preserve"> doivent faire l’objet d’un contrôle périodique afin de garantir leur robustesse et pertinence. Ces audits doivent être réalisés par des entités indépendantes (interne ou externe) des fonctions opérationnelles à une fréquence définie au regard de l’importance des risques encourus.</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2559CABC"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00C35F13"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4D839FDE" w14:textId="77777777" w:rsidTr="006F0D8B">
        <w:trPr>
          <w:trHeight w:val="288"/>
        </w:trPr>
        <w:tc>
          <w:tcPr>
            <w:tcW w:w="646" w:type="dxa"/>
            <w:gridSpan w:val="2"/>
            <w:vMerge w:val="restart"/>
            <w:tcBorders>
              <w:top w:val="single" w:sz="4" w:space="0" w:color="auto"/>
              <w:left w:val="single" w:sz="4" w:space="0" w:color="auto"/>
              <w:right w:val="single" w:sz="4" w:space="0" w:color="auto"/>
            </w:tcBorders>
            <w:shd w:val="clear" w:color="000000" w:fill="FFFFFF"/>
            <w:noWrap/>
            <w:vAlign w:val="center"/>
          </w:tcPr>
          <w:p w14:paraId="74F81A95" w14:textId="77777777" w:rsidR="00112CE3" w:rsidRPr="00A5045C" w:rsidRDefault="00112CE3" w:rsidP="00112CE3">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20BF36" w14:textId="77777777" w:rsidR="00112CE3" w:rsidRPr="00A5045C" w:rsidRDefault="00112CE3" w:rsidP="00112CE3">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xml:space="preserve"> doit s’assurer que :</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1C5468D7" w14:textId="4790AC49"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6D46BB12" w14:textId="620619F7"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736C3FEC" w14:textId="77777777" w:rsidTr="006F0D8B">
        <w:trPr>
          <w:trHeight w:val="276"/>
        </w:trPr>
        <w:tc>
          <w:tcPr>
            <w:tcW w:w="646" w:type="dxa"/>
            <w:gridSpan w:val="2"/>
            <w:vMerge/>
            <w:tcBorders>
              <w:left w:val="single" w:sz="4" w:space="0" w:color="auto"/>
              <w:right w:val="single" w:sz="4" w:space="0" w:color="auto"/>
            </w:tcBorders>
            <w:shd w:val="clear" w:color="000000" w:fill="FFFFFF"/>
            <w:noWrap/>
            <w:vAlign w:val="center"/>
          </w:tcPr>
          <w:p w14:paraId="4D98EB14" w14:textId="77777777" w:rsidR="00545AF2" w:rsidRPr="00A5045C" w:rsidRDefault="00545AF2" w:rsidP="00545AF2">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7F3986" w14:textId="77777777" w:rsidR="00545AF2" w:rsidRPr="00A5045C" w:rsidRDefault="00545AF2" w:rsidP="00545AF2">
            <w:pPr>
              <w:spacing w:before="0" w:beforeAutospacing="0" w:after="0" w:afterAutospacing="0"/>
              <w:jc w:val="both"/>
              <w:rPr>
                <w:rFonts w:cs="Arial"/>
                <w:szCs w:val="18"/>
              </w:rPr>
            </w:pPr>
            <w:r w:rsidRPr="00A5045C">
              <w:rPr>
                <w:rFonts w:cs="Arial"/>
                <w:szCs w:val="18"/>
              </w:rPr>
              <w:t>a) un contrôle périodique garantit la robustesse et la pertinence des mesures de sécurité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71CED305"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26826513" w14:textId="77777777" w:rsidR="00545AF2" w:rsidRPr="00A5045C" w:rsidRDefault="00545AF2" w:rsidP="00545AF2">
            <w:pPr>
              <w:spacing w:before="0" w:beforeAutospacing="0" w:after="0" w:afterAutospacing="0"/>
              <w:rPr>
                <w:rFonts w:cs="Arial"/>
                <w:szCs w:val="18"/>
              </w:rPr>
            </w:pPr>
          </w:p>
        </w:tc>
      </w:tr>
      <w:tr w:rsidR="00545AF2" w:rsidRPr="001148E2" w14:paraId="2C26E6A0" w14:textId="77777777" w:rsidTr="006F0D8B">
        <w:trPr>
          <w:trHeight w:val="276"/>
        </w:trPr>
        <w:tc>
          <w:tcPr>
            <w:tcW w:w="646" w:type="dxa"/>
            <w:gridSpan w:val="2"/>
            <w:vMerge/>
            <w:tcBorders>
              <w:left w:val="single" w:sz="4" w:space="0" w:color="auto"/>
              <w:right w:val="single" w:sz="4" w:space="0" w:color="auto"/>
            </w:tcBorders>
            <w:shd w:val="clear" w:color="000000" w:fill="FFFFFF"/>
            <w:noWrap/>
            <w:vAlign w:val="center"/>
          </w:tcPr>
          <w:p w14:paraId="1ADD3F84" w14:textId="77777777" w:rsidR="00545AF2" w:rsidRPr="00A5045C" w:rsidRDefault="00545AF2" w:rsidP="00545AF2">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DA6B51" w14:textId="77777777" w:rsidR="00545AF2" w:rsidRPr="00A5045C" w:rsidRDefault="00545AF2" w:rsidP="00545AF2">
            <w:pPr>
              <w:spacing w:before="0" w:beforeAutospacing="0" w:after="0" w:afterAutospacing="0"/>
              <w:jc w:val="both"/>
              <w:rPr>
                <w:rFonts w:cs="Arial"/>
                <w:szCs w:val="18"/>
              </w:rPr>
            </w:pPr>
            <w:r w:rsidRPr="00A5045C">
              <w:rPr>
                <w:rFonts w:cs="Arial"/>
                <w:szCs w:val="18"/>
              </w:rPr>
              <w:t>b) la fréquence de ces audits prend en compte les risques encourus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3A53DD64"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3E610C6F" w14:textId="77777777" w:rsidR="00545AF2" w:rsidRPr="00A5045C" w:rsidRDefault="00545AF2" w:rsidP="00545AF2">
            <w:pPr>
              <w:spacing w:before="0" w:beforeAutospacing="0" w:after="0" w:afterAutospacing="0"/>
              <w:rPr>
                <w:rFonts w:cs="Arial"/>
                <w:szCs w:val="18"/>
              </w:rPr>
            </w:pPr>
          </w:p>
        </w:tc>
      </w:tr>
      <w:tr w:rsidR="00545AF2" w:rsidRPr="001148E2" w14:paraId="4C42309D" w14:textId="77777777" w:rsidTr="006F0D8B">
        <w:trPr>
          <w:trHeight w:val="276"/>
        </w:trPr>
        <w:tc>
          <w:tcPr>
            <w:tcW w:w="646" w:type="dxa"/>
            <w:gridSpan w:val="2"/>
            <w:vMerge/>
            <w:tcBorders>
              <w:left w:val="single" w:sz="4" w:space="0" w:color="auto"/>
              <w:right w:val="single" w:sz="4" w:space="0" w:color="auto"/>
            </w:tcBorders>
            <w:shd w:val="clear" w:color="000000" w:fill="FFFFFF"/>
            <w:noWrap/>
            <w:vAlign w:val="center"/>
          </w:tcPr>
          <w:p w14:paraId="6B6A5BF8" w14:textId="77777777" w:rsidR="00545AF2" w:rsidRPr="00A5045C" w:rsidRDefault="00545AF2" w:rsidP="00545AF2">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571CBF" w14:textId="77777777" w:rsidR="00545AF2" w:rsidRPr="00A5045C" w:rsidRDefault="00545AF2" w:rsidP="00545AF2">
            <w:pPr>
              <w:spacing w:before="0" w:beforeAutospacing="0" w:after="0" w:afterAutospacing="0"/>
              <w:jc w:val="both"/>
              <w:rPr>
                <w:rFonts w:cs="Arial"/>
                <w:szCs w:val="18"/>
              </w:rPr>
            </w:pPr>
            <w:r w:rsidRPr="00A5045C">
              <w:rPr>
                <w:rFonts w:cs="Arial"/>
                <w:szCs w:val="18"/>
              </w:rPr>
              <w:t>c) les entités en charge de ces audits sont indépendantes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2AF6BBB5"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568BCCF1" w14:textId="77777777" w:rsidR="00545AF2" w:rsidRPr="00A5045C" w:rsidRDefault="00545AF2" w:rsidP="00545AF2">
            <w:pPr>
              <w:spacing w:before="0" w:beforeAutospacing="0" w:after="0" w:afterAutospacing="0"/>
              <w:rPr>
                <w:rFonts w:cs="Arial"/>
                <w:szCs w:val="18"/>
              </w:rPr>
            </w:pPr>
          </w:p>
        </w:tc>
      </w:tr>
      <w:tr w:rsidR="00545AF2" w:rsidRPr="001148E2" w14:paraId="5A874618" w14:textId="77777777" w:rsidTr="006F0D8B">
        <w:trPr>
          <w:trHeight w:val="276"/>
        </w:trPr>
        <w:tc>
          <w:tcPr>
            <w:tcW w:w="646" w:type="dxa"/>
            <w:gridSpan w:val="2"/>
            <w:vMerge/>
            <w:tcBorders>
              <w:left w:val="single" w:sz="4" w:space="0" w:color="auto"/>
              <w:bottom w:val="single" w:sz="4" w:space="0" w:color="auto"/>
              <w:right w:val="single" w:sz="4" w:space="0" w:color="auto"/>
            </w:tcBorders>
            <w:shd w:val="clear" w:color="000000" w:fill="FFFFFF"/>
            <w:noWrap/>
            <w:vAlign w:val="center"/>
          </w:tcPr>
          <w:p w14:paraId="224FC291" w14:textId="77777777" w:rsidR="00545AF2" w:rsidRPr="00A5045C" w:rsidRDefault="00545AF2" w:rsidP="00545AF2">
            <w:pPr>
              <w:spacing w:before="0" w:beforeAutospacing="0" w:after="0" w:afterAutospacing="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E7EBBF" w14:textId="77777777" w:rsidR="00545AF2" w:rsidRPr="00A5045C" w:rsidRDefault="00545AF2" w:rsidP="00545AF2">
            <w:pPr>
              <w:spacing w:before="0" w:beforeAutospacing="0" w:after="0" w:afterAutospacing="0"/>
              <w:jc w:val="both"/>
              <w:rPr>
                <w:rFonts w:cs="Arial"/>
                <w:szCs w:val="18"/>
              </w:rPr>
            </w:pPr>
            <w:r w:rsidRPr="00A5045C">
              <w:rPr>
                <w:rFonts w:cs="Arial"/>
                <w:szCs w:val="18"/>
              </w:rPr>
              <w:t>d) le résultat de ces audits est communiqué aux instances dirigeantes.</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244BEBA2"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0F9B7940" w14:textId="77777777" w:rsidR="00545AF2" w:rsidRPr="00A5045C" w:rsidRDefault="00545AF2" w:rsidP="00545AF2">
            <w:pPr>
              <w:spacing w:before="0" w:beforeAutospacing="0" w:after="0" w:afterAutospacing="0"/>
              <w:rPr>
                <w:rFonts w:cs="Arial"/>
                <w:szCs w:val="18"/>
              </w:rPr>
            </w:pPr>
          </w:p>
        </w:tc>
      </w:tr>
      <w:tr w:rsidR="00545AF2" w:rsidRPr="001148E2" w14:paraId="13BEC340" w14:textId="77777777" w:rsidTr="00733123">
        <w:trPr>
          <w:trHeight w:val="72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298E941" w14:textId="77777777" w:rsidR="00545AF2" w:rsidRPr="00A5045C" w:rsidRDefault="00545AF2" w:rsidP="00545AF2">
            <w:pPr>
              <w:spacing w:before="0" w:beforeAutospacing="0" w:after="0" w:afterAutospacing="0"/>
              <w:jc w:val="center"/>
              <w:rPr>
                <w:rFonts w:cs="Arial"/>
                <w:b/>
                <w:bCs/>
                <w:szCs w:val="18"/>
              </w:rPr>
            </w:pPr>
            <w:r w:rsidRPr="00A5045C">
              <w:rPr>
                <w:rFonts w:cs="Arial"/>
                <w:b/>
                <w:bCs/>
                <w:szCs w:val="18"/>
              </w:rPr>
              <w:t xml:space="preserve">4.7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F39109F"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 xml:space="preserve">Dans le cas où les fonctions liées à la sécurité des </w:t>
            </w:r>
            <w:r>
              <w:rPr>
                <w:rFonts w:cs="Arial"/>
                <w:b/>
                <w:bCs/>
                <w:szCs w:val="18"/>
              </w:rPr>
              <w:t>TSPD/IPS</w:t>
            </w:r>
            <w:r w:rsidRPr="00A5045C">
              <w:rPr>
                <w:rFonts w:cs="Arial"/>
                <w:b/>
                <w:bCs/>
                <w:szCs w:val="18"/>
              </w:rPr>
              <w:t xml:space="preserve"> sont externalisées, il convient de prévoir au contrat les dispositions relatives à la conformité aux recommandations formulées dans le présent rapport.</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1B3F6B78"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6B0AADE9"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36B76104" w14:textId="77777777" w:rsidTr="006F0D8B">
        <w:trPr>
          <w:trHeight w:val="684"/>
        </w:trPr>
        <w:tc>
          <w:tcPr>
            <w:tcW w:w="6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552E9E" w14:textId="77777777" w:rsidR="00112CE3" w:rsidRPr="00A5045C" w:rsidRDefault="00112CE3" w:rsidP="00112CE3">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EA1800" w14:textId="77777777" w:rsidR="00112CE3" w:rsidRPr="00A5045C" w:rsidRDefault="00112CE3" w:rsidP="00112CE3">
            <w:pPr>
              <w:spacing w:before="0" w:beforeAutospacing="0" w:after="0" w:afterAutospacing="0"/>
              <w:jc w:val="both"/>
              <w:rPr>
                <w:rFonts w:cs="Arial"/>
                <w:szCs w:val="18"/>
              </w:rPr>
            </w:pPr>
            <w:r w:rsidRPr="00A5045C">
              <w:rPr>
                <w:rFonts w:cs="Arial"/>
                <w:szCs w:val="18"/>
              </w:rPr>
              <w:t>L’Émetteur doit s’assurer que les contrats avec ses prestataires prennent en compte les recommandations à mettre en œuvre. Le prestataire s’engage à respecter les recommandations et permet à l’Émetteur de vérifier la conformité de ces processus.</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14:paraId="2DA77F1C" w14:textId="6CD5F17B"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14:paraId="0DC4171D" w14:textId="66D68419"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A826E0" w14:paraId="33DC8670" w14:textId="77777777" w:rsidTr="00733123">
        <w:trPr>
          <w:trHeight w:val="276"/>
        </w:trPr>
        <w:tc>
          <w:tcPr>
            <w:tcW w:w="6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3411BA1C" w14:textId="77777777" w:rsidR="00545AF2" w:rsidRPr="00A826E0" w:rsidRDefault="00545AF2" w:rsidP="00545AF2">
            <w:pPr>
              <w:spacing w:before="0" w:beforeAutospacing="0" w:after="0" w:afterAutospacing="0"/>
              <w:jc w:val="center"/>
              <w:rPr>
                <w:rFonts w:cs="Arial"/>
                <w:b/>
                <w:sz w:val="20"/>
                <w:szCs w:val="18"/>
              </w:rPr>
            </w:pPr>
            <w:r w:rsidRPr="00A826E0">
              <w:rPr>
                <w:rFonts w:cs="Arial"/>
                <w:b/>
                <w:sz w:val="20"/>
                <w:szCs w:val="18"/>
              </w:rPr>
              <w:t>5.</w:t>
            </w:r>
          </w:p>
        </w:tc>
        <w:tc>
          <w:tcPr>
            <w:tcW w:w="14106" w:type="dxa"/>
            <w:gridSpan w:val="6"/>
            <w:tcBorders>
              <w:top w:val="single" w:sz="4" w:space="0" w:color="auto"/>
              <w:left w:val="single" w:sz="4" w:space="0" w:color="auto"/>
              <w:bottom w:val="single" w:sz="4" w:space="0" w:color="auto"/>
              <w:right w:val="single" w:sz="4" w:space="0" w:color="0070C0"/>
            </w:tcBorders>
            <w:shd w:val="clear" w:color="auto" w:fill="B8CCE4" w:themeFill="accent1" w:themeFillTint="66"/>
            <w:noWrap/>
            <w:vAlign w:val="center"/>
            <w:hideMark/>
          </w:tcPr>
          <w:p w14:paraId="271D8DFA" w14:textId="71D56C4E" w:rsidR="00545AF2" w:rsidRPr="00A826E0" w:rsidRDefault="00545AF2" w:rsidP="00545AF2">
            <w:pPr>
              <w:spacing w:before="0" w:beforeAutospacing="0" w:after="0" w:afterAutospacing="0"/>
              <w:rPr>
                <w:rFonts w:cs="Arial"/>
                <w:b/>
                <w:sz w:val="20"/>
                <w:szCs w:val="18"/>
              </w:rPr>
            </w:pPr>
            <w:r w:rsidRPr="00A826E0">
              <w:rPr>
                <w:rFonts w:cs="Arial"/>
                <w:b/>
                <w:sz w:val="20"/>
                <w:szCs w:val="18"/>
              </w:rPr>
              <w:t>Traçabilité</w:t>
            </w:r>
            <w:r>
              <w:rPr>
                <w:rFonts w:cs="Arial"/>
                <w:b/>
                <w:sz w:val="20"/>
                <w:szCs w:val="18"/>
              </w:rPr>
              <w:t xml:space="preserve"> / piste d’audit</w:t>
            </w:r>
          </w:p>
        </w:tc>
      </w:tr>
      <w:tr w:rsidR="00545AF2" w:rsidRPr="001148E2" w14:paraId="2650457D" w14:textId="77777777" w:rsidTr="00733123">
        <w:trPr>
          <w:trHeight w:val="72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E1E4FA1" w14:textId="77777777" w:rsidR="00545AF2" w:rsidRPr="00A5045C" w:rsidRDefault="00545AF2" w:rsidP="00545AF2">
            <w:pPr>
              <w:spacing w:before="0" w:beforeAutospacing="0" w:after="0" w:afterAutospacing="0"/>
              <w:jc w:val="center"/>
              <w:rPr>
                <w:rFonts w:cs="Arial"/>
                <w:b/>
                <w:bCs/>
                <w:szCs w:val="18"/>
              </w:rPr>
            </w:pPr>
            <w:r w:rsidRPr="00A5045C">
              <w:rPr>
                <w:rFonts w:cs="Arial"/>
                <w:b/>
                <w:bCs/>
                <w:szCs w:val="18"/>
              </w:rPr>
              <w:t xml:space="preserve">5.1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BE19E44"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Les émetteurs doivent disposer d’un processus adéquat permettant de piloter, tracer et restreindre l’accès i) aux données sensibles de paiement ; ii) aux ressources critiques logiques et physiques (réseau, systèmes de base de données, modules de sécurité, etc.).</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79817B2E"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0070C0"/>
              <w:left w:val="single" w:sz="4" w:space="0" w:color="auto"/>
              <w:bottom w:val="nil"/>
              <w:right w:val="single" w:sz="4" w:space="0" w:color="0070C0"/>
            </w:tcBorders>
            <w:shd w:val="clear" w:color="000000" w:fill="DDEBF7"/>
            <w:vAlign w:val="center"/>
            <w:hideMark/>
          </w:tcPr>
          <w:p w14:paraId="775F83CD"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51ABC3E9" w14:textId="77777777" w:rsidTr="006F0D8B">
        <w:trPr>
          <w:trHeight w:val="1140"/>
        </w:trPr>
        <w:tc>
          <w:tcPr>
            <w:tcW w:w="6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86832E" w14:textId="77777777" w:rsidR="00112CE3" w:rsidRPr="00A5045C" w:rsidRDefault="00112CE3" w:rsidP="00112CE3">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637372" w14:textId="77777777" w:rsidR="00112CE3" w:rsidRPr="00A5045C" w:rsidRDefault="00112CE3" w:rsidP="00112CE3">
            <w:pPr>
              <w:spacing w:before="0" w:beforeAutospacing="0" w:after="0" w:afterAutospacing="0"/>
              <w:jc w:val="both"/>
              <w:rPr>
                <w:rFonts w:cs="Arial"/>
                <w:szCs w:val="18"/>
              </w:rPr>
            </w:pPr>
            <w:r w:rsidRPr="00A5045C">
              <w:rPr>
                <w:rFonts w:cs="Arial"/>
                <w:szCs w:val="18"/>
              </w:rPr>
              <w:t>Les traces informatiques correspondent aux enregistrements systématiques et temporaires d’informations caractéristiques des transactions opérées au sein du système d’information, issus des applications (bases de données, applications), des systèmes, des infrastructures réseaux et sécurité ou des équipements des réseaux. Le processus de gestion des traces doit permettre à l’émetteur de vérifier que les règles en matière de sécurité des SI sont correctement appliquées et que la sécurité qui doit en résulter est bien assurée.</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14:paraId="4950C071" w14:textId="7F95C754"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tcBorders>
              <w:top w:val="nil"/>
              <w:left w:val="single" w:sz="4" w:space="0" w:color="auto"/>
              <w:bottom w:val="nil"/>
              <w:right w:val="single" w:sz="4" w:space="0" w:color="0070C0"/>
            </w:tcBorders>
            <w:shd w:val="clear" w:color="auto" w:fill="FF0000"/>
            <w:vAlign w:val="center"/>
            <w:hideMark/>
          </w:tcPr>
          <w:p w14:paraId="39F39BC6" w14:textId="749979C8" w:rsidR="00112CE3" w:rsidRPr="00A5045C" w:rsidRDefault="00112CE3" w:rsidP="00112CE3">
            <w:pPr>
              <w:spacing w:before="0" w:beforeAutospacing="0" w:after="0" w:afterAutospacing="0"/>
              <w:jc w:val="center"/>
              <w:rPr>
                <w:rFonts w:cs="Arial"/>
                <w:szCs w:val="18"/>
              </w:rPr>
            </w:pPr>
            <w:r>
              <w:rPr>
                <w:rFonts w:cs="Arial"/>
                <w:color w:val="000000"/>
                <w:szCs w:val="18"/>
              </w:rPr>
              <w:t xml:space="preserve">500 caractères </w:t>
            </w:r>
            <w:r w:rsidR="00D271EB" w:rsidRPr="00146FA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545AF2" w:rsidRPr="001148E2" w14:paraId="2AB8AD4F" w14:textId="77777777" w:rsidTr="00733123">
        <w:trPr>
          <w:trHeight w:val="96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5879856" w14:textId="77777777" w:rsidR="00545AF2" w:rsidRPr="00A5045C" w:rsidRDefault="00545AF2" w:rsidP="00545AF2">
            <w:pPr>
              <w:spacing w:before="0" w:beforeAutospacing="0" w:after="0" w:afterAutospacing="0"/>
              <w:jc w:val="center"/>
              <w:rPr>
                <w:rFonts w:cs="Arial"/>
                <w:b/>
                <w:bCs/>
                <w:szCs w:val="18"/>
              </w:rPr>
            </w:pPr>
            <w:r w:rsidRPr="00A5045C">
              <w:rPr>
                <w:rFonts w:cs="Arial"/>
                <w:b/>
                <w:bCs/>
                <w:szCs w:val="18"/>
              </w:rPr>
              <w:t xml:space="preserve">5.2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DEBFB26"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Seules les personnes dûment habilitées par les émetteurs doivent être en mesure d’exploiter la piste d’audit et ce pour une durée adaptée à leur activité conformément aux règles fixées par la loi « Informatique et libertés », dont la bonne application est garantie par la Commission nationale de l'informatique et des libertés (CNIL).</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610ECDD3"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0070C0"/>
              <w:left w:val="single" w:sz="4" w:space="0" w:color="auto"/>
              <w:bottom w:val="nil"/>
              <w:right w:val="single" w:sz="4" w:space="0" w:color="0070C0"/>
            </w:tcBorders>
            <w:shd w:val="clear" w:color="000000" w:fill="DDEBF7"/>
            <w:vAlign w:val="center"/>
            <w:hideMark/>
          </w:tcPr>
          <w:p w14:paraId="0FFAFC96"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26001469" w14:textId="77777777" w:rsidTr="006F0D8B">
        <w:trPr>
          <w:trHeight w:val="288"/>
        </w:trPr>
        <w:tc>
          <w:tcPr>
            <w:tcW w:w="6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DD66A0" w14:textId="77777777" w:rsidR="00112CE3" w:rsidRPr="00A5045C" w:rsidRDefault="00112CE3" w:rsidP="00112CE3">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B6C113" w14:textId="77777777" w:rsidR="00112CE3" w:rsidRPr="00A5045C" w:rsidRDefault="00112CE3" w:rsidP="00112CE3">
            <w:pPr>
              <w:spacing w:before="0" w:beforeAutospacing="0" w:after="0" w:afterAutospacing="0"/>
              <w:jc w:val="both"/>
              <w:rPr>
                <w:rFonts w:cs="Arial"/>
                <w:szCs w:val="18"/>
              </w:rPr>
            </w:pPr>
            <w:r w:rsidRPr="00A5045C">
              <w:rPr>
                <w:rFonts w:cs="Arial"/>
                <w:szCs w:val="18"/>
              </w:rPr>
              <w:t>L’émetteur s’assure :</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3719AB2D" w14:textId="6A1337C1"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tcBorders>
              <w:top w:val="nil"/>
              <w:left w:val="single" w:sz="4" w:space="0" w:color="auto"/>
              <w:bottom w:val="single" w:sz="4" w:space="0" w:color="auto"/>
              <w:right w:val="single" w:sz="4" w:space="0" w:color="0070C0"/>
            </w:tcBorders>
            <w:shd w:val="clear" w:color="auto" w:fill="FF0000"/>
            <w:vAlign w:val="center"/>
            <w:hideMark/>
          </w:tcPr>
          <w:p w14:paraId="6EC8BCCE" w14:textId="3E0B1EA8"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13E925E4" w14:textId="77777777" w:rsidTr="006F0D8B">
        <w:trPr>
          <w:trHeight w:val="276"/>
        </w:trPr>
        <w:tc>
          <w:tcPr>
            <w:tcW w:w="6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1BD76F"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24AE9F" w14:textId="77777777" w:rsidR="00545AF2" w:rsidRPr="00A5045C" w:rsidRDefault="00545AF2" w:rsidP="00545AF2">
            <w:pPr>
              <w:spacing w:before="0" w:beforeAutospacing="0" w:after="0" w:afterAutospacing="0"/>
              <w:jc w:val="both"/>
              <w:rPr>
                <w:rFonts w:cs="Arial"/>
                <w:szCs w:val="18"/>
              </w:rPr>
            </w:pPr>
            <w:r w:rsidRPr="00A5045C">
              <w:rPr>
                <w:rFonts w:cs="Arial"/>
                <w:szCs w:val="18"/>
              </w:rPr>
              <w:t>a) du strict encadrement des rôles et responsabilités des acteurs impliqués dans la gestion des traces;</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314BAF74"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3F96B6A1" w14:textId="77777777" w:rsidR="00545AF2" w:rsidRPr="00A5045C" w:rsidRDefault="00545AF2" w:rsidP="00545AF2">
            <w:pPr>
              <w:spacing w:before="0" w:beforeAutospacing="0" w:after="0" w:afterAutospacing="0"/>
              <w:rPr>
                <w:rFonts w:cs="Arial"/>
                <w:szCs w:val="18"/>
              </w:rPr>
            </w:pPr>
          </w:p>
        </w:tc>
      </w:tr>
      <w:tr w:rsidR="00545AF2" w:rsidRPr="001148E2" w14:paraId="63F74C9E" w14:textId="77777777" w:rsidTr="006F0D8B">
        <w:trPr>
          <w:trHeight w:val="456"/>
        </w:trPr>
        <w:tc>
          <w:tcPr>
            <w:tcW w:w="6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5F68C7"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438909" w14:textId="77777777" w:rsidR="00545AF2" w:rsidRPr="00A5045C" w:rsidRDefault="00545AF2" w:rsidP="00545AF2">
            <w:pPr>
              <w:spacing w:before="0" w:beforeAutospacing="0" w:after="0" w:afterAutospacing="0"/>
              <w:jc w:val="both"/>
              <w:rPr>
                <w:rFonts w:cs="Arial"/>
                <w:szCs w:val="18"/>
              </w:rPr>
            </w:pPr>
            <w:r w:rsidRPr="00A5045C">
              <w:rPr>
                <w:rFonts w:cs="Arial"/>
                <w:szCs w:val="18"/>
              </w:rPr>
              <w:t>b) de la définition des données à journaliser et la durée de conservation de celles-ci en tenant compte de l’objectif fonctionnel poursuivi.</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26ED0A18"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6EA8FCCE" w14:textId="77777777" w:rsidR="00545AF2" w:rsidRPr="00A5045C" w:rsidRDefault="00545AF2" w:rsidP="00545AF2">
            <w:pPr>
              <w:spacing w:before="0" w:beforeAutospacing="0" w:after="0" w:afterAutospacing="0"/>
              <w:rPr>
                <w:rFonts w:cs="Arial"/>
                <w:szCs w:val="18"/>
              </w:rPr>
            </w:pPr>
          </w:p>
        </w:tc>
      </w:tr>
      <w:tr w:rsidR="00545AF2" w:rsidRPr="00A826E0" w14:paraId="52620D44"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46" w:type="dxa"/>
            <w:gridSpan w:val="2"/>
            <w:shd w:val="clear" w:color="auto" w:fill="B8CCE4" w:themeFill="accent1" w:themeFillTint="66"/>
            <w:noWrap/>
            <w:vAlign w:val="center"/>
            <w:hideMark/>
          </w:tcPr>
          <w:p w14:paraId="7B7465EA" w14:textId="77777777" w:rsidR="00545AF2" w:rsidRPr="00A826E0" w:rsidRDefault="00545AF2" w:rsidP="00545AF2">
            <w:pPr>
              <w:spacing w:before="0" w:beforeAutospacing="0" w:after="0" w:afterAutospacing="0"/>
              <w:jc w:val="both"/>
              <w:rPr>
                <w:rFonts w:cs="Arial"/>
                <w:b/>
                <w:sz w:val="20"/>
                <w:szCs w:val="18"/>
              </w:rPr>
            </w:pPr>
            <w:r w:rsidRPr="00A826E0">
              <w:rPr>
                <w:rFonts w:cs="Arial"/>
                <w:b/>
                <w:sz w:val="20"/>
                <w:szCs w:val="18"/>
              </w:rPr>
              <w:t>6.</w:t>
            </w:r>
          </w:p>
        </w:tc>
        <w:tc>
          <w:tcPr>
            <w:tcW w:w="14106" w:type="dxa"/>
            <w:gridSpan w:val="6"/>
            <w:shd w:val="clear" w:color="auto" w:fill="B8CCE4" w:themeFill="accent1" w:themeFillTint="66"/>
            <w:noWrap/>
            <w:vAlign w:val="center"/>
            <w:hideMark/>
          </w:tcPr>
          <w:p w14:paraId="3B76A9EF" w14:textId="5FAF443F" w:rsidR="00545AF2" w:rsidRPr="00A826E0" w:rsidRDefault="00545AF2" w:rsidP="00545AF2">
            <w:pPr>
              <w:spacing w:before="0" w:beforeAutospacing="0" w:after="0" w:afterAutospacing="0"/>
              <w:rPr>
                <w:rFonts w:cs="Arial"/>
                <w:b/>
                <w:sz w:val="20"/>
                <w:szCs w:val="18"/>
              </w:rPr>
            </w:pPr>
            <w:r w:rsidRPr="000176A4">
              <w:rPr>
                <w:rFonts w:cs="Arial"/>
                <w:b/>
                <w:sz w:val="20"/>
                <w:szCs w:val="18"/>
              </w:rPr>
              <w:t>Sécurité physique du titre papier</w:t>
            </w:r>
            <w:r>
              <w:rPr>
                <w:rFonts w:cs="Arial"/>
                <w:b/>
                <w:sz w:val="20"/>
                <w:szCs w:val="18"/>
              </w:rPr>
              <w:t xml:space="preserve"> (IPS ou CESU)</w:t>
            </w:r>
          </w:p>
        </w:tc>
      </w:tr>
      <w:tr w:rsidR="00545AF2" w:rsidRPr="001148E2" w14:paraId="6868F061"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6" w:type="dxa"/>
            <w:gridSpan w:val="2"/>
            <w:shd w:val="clear" w:color="000000" w:fill="DDEBF7"/>
            <w:noWrap/>
            <w:vAlign w:val="center"/>
            <w:hideMark/>
          </w:tcPr>
          <w:p w14:paraId="16A3C292" w14:textId="77777777" w:rsidR="00545AF2" w:rsidRPr="00A5045C" w:rsidRDefault="00545AF2" w:rsidP="00545AF2">
            <w:pPr>
              <w:spacing w:before="0" w:beforeAutospacing="0" w:after="0" w:afterAutospacing="0"/>
              <w:jc w:val="center"/>
              <w:rPr>
                <w:rFonts w:cs="Arial"/>
                <w:b/>
                <w:bCs/>
                <w:szCs w:val="18"/>
              </w:rPr>
            </w:pPr>
            <w:r w:rsidRPr="00A5045C">
              <w:rPr>
                <w:rFonts w:cs="Arial"/>
                <w:b/>
                <w:bCs/>
                <w:szCs w:val="18"/>
              </w:rPr>
              <w:t xml:space="preserve">6.1 </w:t>
            </w:r>
          </w:p>
        </w:tc>
        <w:tc>
          <w:tcPr>
            <w:tcW w:w="10211" w:type="dxa"/>
            <w:gridSpan w:val="2"/>
            <w:shd w:val="clear" w:color="000000" w:fill="DDEBF7"/>
            <w:noWrap/>
            <w:vAlign w:val="center"/>
            <w:hideMark/>
          </w:tcPr>
          <w:p w14:paraId="236C1EDA" w14:textId="216175F3" w:rsidR="00545AF2" w:rsidRPr="00A5045C" w:rsidRDefault="00545AF2" w:rsidP="00545AF2">
            <w:pPr>
              <w:spacing w:before="0" w:beforeAutospacing="0" w:after="0" w:afterAutospacing="0"/>
              <w:jc w:val="both"/>
              <w:rPr>
                <w:rFonts w:cs="Arial"/>
                <w:b/>
                <w:bCs/>
                <w:szCs w:val="18"/>
              </w:rPr>
            </w:pPr>
            <w:r w:rsidRPr="000176A4">
              <w:rPr>
                <w:rFonts w:cs="Arial"/>
                <w:b/>
                <w:bCs/>
                <w:szCs w:val="18"/>
              </w:rPr>
              <w:t>L’émetteur s’assure de la sécurité des supports physiques du titre papier. Tout au long de la période de conservation obligatoire, la qualité, la disponibilité et l’exploitabilité technique des éléments archivés est assurée.</w:t>
            </w:r>
          </w:p>
        </w:tc>
        <w:tc>
          <w:tcPr>
            <w:tcW w:w="1350" w:type="dxa"/>
            <w:gridSpan w:val="2"/>
            <w:shd w:val="clear" w:color="000000" w:fill="DDEBF7"/>
            <w:vAlign w:val="center"/>
            <w:hideMark/>
          </w:tcPr>
          <w:p w14:paraId="05E85370"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3CD592AE"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283EF585"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646" w:type="dxa"/>
            <w:gridSpan w:val="2"/>
            <w:vMerge w:val="restart"/>
            <w:shd w:val="clear" w:color="000000" w:fill="FFFFFF"/>
            <w:noWrap/>
            <w:vAlign w:val="center"/>
          </w:tcPr>
          <w:p w14:paraId="1CDAAAE8" w14:textId="6D3D26B1" w:rsidR="00112CE3" w:rsidRPr="00A5045C" w:rsidRDefault="00112CE3" w:rsidP="00112CE3">
            <w:pPr>
              <w:spacing w:before="0" w:after="0"/>
              <w:jc w:val="center"/>
              <w:rPr>
                <w:rFonts w:cs="Arial"/>
                <w:szCs w:val="18"/>
              </w:rPr>
            </w:pPr>
            <w:r w:rsidRPr="00A5045C">
              <w:rPr>
                <w:rFonts w:cs="Arial"/>
                <w:szCs w:val="18"/>
              </w:rPr>
              <w:t> </w:t>
            </w:r>
          </w:p>
        </w:tc>
        <w:tc>
          <w:tcPr>
            <w:tcW w:w="10211" w:type="dxa"/>
            <w:gridSpan w:val="2"/>
            <w:shd w:val="clear" w:color="000000" w:fill="FFFFFF"/>
            <w:noWrap/>
            <w:vAlign w:val="center"/>
            <w:hideMark/>
          </w:tcPr>
          <w:p w14:paraId="0BDB4ED1" w14:textId="5866FC85" w:rsidR="00112CE3" w:rsidRPr="00E23B06" w:rsidRDefault="00112CE3" w:rsidP="00112CE3">
            <w:pPr>
              <w:spacing w:before="0" w:beforeAutospacing="0" w:after="0" w:afterAutospacing="0"/>
              <w:jc w:val="both"/>
              <w:rPr>
                <w:rFonts w:cs="Arial"/>
                <w:szCs w:val="18"/>
              </w:rPr>
            </w:pPr>
            <w:r w:rsidRPr="00E23B06">
              <w:rPr>
                <w:rFonts w:cs="Arial"/>
                <w:szCs w:val="18"/>
              </w:rPr>
              <w:t>L’émetteur s’assure de la sécurité des supports physiques du titre TSPD/IPS, il prévoit notamment de :</w:t>
            </w:r>
          </w:p>
        </w:tc>
        <w:tc>
          <w:tcPr>
            <w:tcW w:w="1350" w:type="dxa"/>
            <w:gridSpan w:val="2"/>
            <w:vMerge w:val="restart"/>
            <w:shd w:val="clear" w:color="000000" w:fill="FF0000"/>
            <w:vAlign w:val="center"/>
            <w:hideMark/>
          </w:tcPr>
          <w:p w14:paraId="776B54CE" w14:textId="523B32CB"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6BA15B78" w14:textId="2B73A4B6"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437D61CE"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125DAA96"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2E6609F8" w14:textId="40CF2082" w:rsidR="00545AF2" w:rsidRPr="00E23B06" w:rsidRDefault="00545AF2" w:rsidP="00545AF2">
            <w:pPr>
              <w:spacing w:before="0" w:beforeAutospacing="0" w:after="0" w:afterAutospacing="0"/>
              <w:jc w:val="both"/>
              <w:rPr>
                <w:rFonts w:cs="Arial"/>
                <w:color w:val="000000"/>
                <w:szCs w:val="18"/>
              </w:rPr>
            </w:pPr>
            <w:r w:rsidRPr="00E23B06">
              <w:rPr>
                <w:rFonts w:cs="Arial"/>
                <w:color w:val="000000"/>
                <w:szCs w:val="18"/>
              </w:rPr>
              <w:t xml:space="preserve">a) fournir aux bénéficiaires et aux accepteurs l’ensemble des caractéristiques des signes de sécurité permettant d’authentifier ses titres et assure une communication large et régulière de ses informations et recommandations auprès des bénéficiaires et des accepteurs ; </w:t>
            </w:r>
          </w:p>
        </w:tc>
        <w:tc>
          <w:tcPr>
            <w:tcW w:w="1350" w:type="dxa"/>
            <w:gridSpan w:val="2"/>
            <w:vMerge/>
            <w:vAlign w:val="center"/>
            <w:hideMark/>
          </w:tcPr>
          <w:p w14:paraId="1B9941E4"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618196A7" w14:textId="77777777" w:rsidR="00545AF2" w:rsidRPr="00A5045C" w:rsidRDefault="00545AF2" w:rsidP="00545AF2">
            <w:pPr>
              <w:spacing w:before="0" w:beforeAutospacing="0" w:after="0" w:afterAutospacing="0"/>
              <w:rPr>
                <w:rFonts w:cs="Arial"/>
                <w:szCs w:val="18"/>
              </w:rPr>
            </w:pPr>
          </w:p>
        </w:tc>
      </w:tr>
      <w:tr w:rsidR="00545AF2" w:rsidRPr="001148E2" w14:paraId="54FA01D6"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tcPr>
          <w:p w14:paraId="10314531"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4D3810BD" w14:textId="5CE2C697" w:rsidR="00545AF2" w:rsidRPr="00E23B06" w:rsidRDefault="00545AF2" w:rsidP="00545AF2">
            <w:pPr>
              <w:spacing w:before="0" w:beforeAutospacing="0" w:after="0" w:afterAutospacing="0"/>
              <w:jc w:val="both"/>
              <w:rPr>
                <w:rFonts w:cs="Arial"/>
                <w:color w:val="000000"/>
                <w:szCs w:val="18"/>
              </w:rPr>
            </w:pPr>
            <w:r w:rsidRPr="00E23B06">
              <w:rPr>
                <w:rFonts w:cs="Arial"/>
                <w:color w:val="000000"/>
                <w:szCs w:val="18"/>
              </w:rPr>
              <w:t>b) disposer d’une procédure destinée à détecter la perte de qualité des archives logiques qu’il conserve. La bonne application de cette procédure fait l’objet d’une vérification régulière ;</w:t>
            </w:r>
          </w:p>
        </w:tc>
        <w:tc>
          <w:tcPr>
            <w:tcW w:w="1350" w:type="dxa"/>
            <w:gridSpan w:val="2"/>
            <w:vMerge/>
            <w:vAlign w:val="center"/>
          </w:tcPr>
          <w:p w14:paraId="7AE6F561"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tcPr>
          <w:p w14:paraId="09607876" w14:textId="77777777" w:rsidR="00545AF2" w:rsidRPr="00A5045C" w:rsidRDefault="00545AF2" w:rsidP="00545AF2">
            <w:pPr>
              <w:spacing w:before="0" w:beforeAutospacing="0" w:after="0" w:afterAutospacing="0"/>
              <w:rPr>
                <w:rFonts w:cs="Arial"/>
                <w:szCs w:val="18"/>
              </w:rPr>
            </w:pPr>
          </w:p>
        </w:tc>
      </w:tr>
      <w:tr w:rsidR="00545AF2" w:rsidRPr="001148E2" w14:paraId="64637B1E"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tcPr>
          <w:p w14:paraId="162546B6"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2F167109" w14:textId="00B4F4AD" w:rsidR="00545AF2" w:rsidRPr="00E23B06" w:rsidRDefault="00545AF2" w:rsidP="00545AF2">
            <w:pPr>
              <w:spacing w:before="0" w:beforeAutospacing="0" w:after="0" w:afterAutospacing="0"/>
              <w:jc w:val="both"/>
              <w:rPr>
                <w:rFonts w:cs="Arial"/>
                <w:color w:val="000000"/>
                <w:szCs w:val="18"/>
              </w:rPr>
            </w:pPr>
            <w:r w:rsidRPr="00E23B06">
              <w:rPr>
                <w:rFonts w:cs="Arial"/>
                <w:color w:val="000000"/>
                <w:szCs w:val="18"/>
              </w:rPr>
              <w:t>c) disposer d’une procédure destinée à détecter la perte de qualité des archives physiques qu’il conserve. La bonne application de cette procédure fait l’objet d’une vérification régulière ;</w:t>
            </w:r>
          </w:p>
        </w:tc>
        <w:tc>
          <w:tcPr>
            <w:tcW w:w="1350" w:type="dxa"/>
            <w:gridSpan w:val="2"/>
            <w:vMerge/>
            <w:vAlign w:val="center"/>
          </w:tcPr>
          <w:p w14:paraId="0AFB3399"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tcPr>
          <w:p w14:paraId="61F73970" w14:textId="77777777" w:rsidR="00545AF2" w:rsidRPr="00A5045C" w:rsidRDefault="00545AF2" w:rsidP="00545AF2">
            <w:pPr>
              <w:spacing w:before="0" w:beforeAutospacing="0" w:after="0" w:afterAutospacing="0"/>
              <w:rPr>
                <w:rFonts w:cs="Arial"/>
                <w:szCs w:val="18"/>
              </w:rPr>
            </w:pPr>
          </w:p>
        </w:tc>
      </w:tr>
      <w:tr w:rsidR="00545AF2" w:rsidRPr="001148E2" w14:paraId="19C36B3E" w14:textId="77777777" w:rsidTr="00716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3C1DED35"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6321EE22" w14:textId="7EF81224" w:rsidR="00545AF2" w:rsidRPr="00E23B06" w:rsidRDefault="00545AF2" w:rsidP="00545AF2">
            <w:pPr>
              <w:spacing w:before="0" w:beforeAutospacing="0" w:after="0" w:afterAutospacing="0"/>
              <w:jc w:val="both"/>
              <w:rPr>
                <w:rFonts w:cs="Arial"/>
                <w:color w:val="000000"/>
                <w:szCs w:val="18"/>
              </w:rPr>
            </w:pPr>
            <w:r w:rsidRPr="00E23B06">
              <w:rPr>
                <w:rFonts w:cs="Arial"/>
                <w:color w:val="000000"/>
                <w:szCs w:val="18"/>
              </w:rPr>
              <w:t>d) disposer d’une procédure visant à s’assurer de la lisibilité dans le temps des supports archivés;</w:t>
            </w:r>
          </w:p>
        </w:tc>
        <w:tc>
          <w:tcPr>
            <w:tcW w:w="1350" w:type="dxa"/>
            <w:gridSpan w:val="2"/>
            <w:vMerge/>
            <w:vAlign w:val="center"/>
            <w:hideMark/>
          </w:tcPr>
          <w:p w14:paraId="27B96D10"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0F99C912" w14:textId="77777777" w:rsidR="00545AF2" w:rsidRPr="00A5045C" w:rsidRDefault="00545AF2" w:rsidP="00545AF2">
            <w:pPr>
              <w:spacing w:before="0" w:beforeAutospacing="0" w:after="0" w:afterAutospacing="0"/>
              <w:rPr>
                <w:rFonts w:cs="Arial"/>
                <w:szCs w:val="18"/>
              </w:rPr>
            </w:pPr>
          </w:p>
        </w:tc>
      </w:tr>
      <w:tr w:rsidR="00545AF2" w:rsidRPr="001148E2" w14:paraId="53C7C093" w14:textId="77777777" w:rsidTr="00716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646" w:type="dxa"/>
            <w:gridSpan w:val="2"/>
            <w:vMerge/>
            <w:shd w:val="clear" w:color="000000" w:fill="FFFFFF"/>
            <w:noWrap/>
            <w:vAlign w:val="center"/>
            <w:hideMark/>
          </w:tcPr>
          <w:p w14:paraId="78F5E9BC"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0D14C4B1" w14:textId="032BBAF5" w:rsidR="00545AF2" w:rsidRPr="00E23B06" w:rsidRDefault="00545AF2" w:rsidP="00545AF2">
            <w:pPr>
              <w:spacing w:before="0" w:beforeAutospacing="0" w:after="0" w:afterAutospacing="0"/>
              <w:jc w:val="both"/>
              <w:rPr>
                <w:rFonts w:cs="Arial"/>
                <w:color w:val="000000"/>
                <w:szCs w:val="18"/>
              </w:rPr>
            </w:pPr>
            <w:r w:rsidRPr="00E23B06">
              <w:rPr>
                <w:rFonts w:cs="Arial"/>
                <w:szCs w:val="18"/>
              </w:rPr>
              <w:t xml:space="preserve">e) la faculté de reconstituer les informations constituant les éléments logiques (ex : fichiers d’opérations) qui auraient été altérés ou qui auraient disparu (ex </w:t>
            </w:r>
            <w:r w:rsidRPr="00E23B06">
              <w:rPr>
                <w:rFonts w:cs="Arial"/>
                <w:color w:val="FF0000"/>
                <w:szCs w:val="18"/>
              </w:rPr>
              <w:t xml:space="preserve">: </w:t>
            </w:r>
            <w:r w:rsidRPr="00E23B06">
              <w:rPr>
                <w:rFonts w:cs="Arial"/>
                <w:szCs w:val="18"/>
              </w:rPr>
              <w:t>altération des supports d’archivage) ;</w:t>
            </w:r>
          </w:p>
        </w:tc>
        <w:tc>
          <w:tcPr>
            <w:tcW w:w="1350" w:type="dxa"/>
            <w:gridSpan w:val="2"/>
            <w:vMerge/>
            <w:vAlign w:val="center"/>
            <w:hideMark/>
          </w:tcPr>
          <w:p w14:paraId="70CA6349"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1F4FCF13" w14:textId="77777777" w:rsidR="00545AF2" w:rsidRPr="00A5045C" w:rsidRDefault="00545AF2" w:rsidP="00545AF2">
            <w:pPr>
              <w:spacing w:before="0" w:beforeAutospacing="0" w:after="0" w:afterAutospacing="0"/>
              <w:rPr>
                <w:rFonts w:cs="Arial"/>
                <w:szCs w:val="18"/>
              </w:rPr>
            </w:pPr>
          </w:p>
        </w:tc>
      </w:tr>
      <w:tr w:rsidR="00545AF2" w:rsidRPr="001148E2" w14:paraId="59258C4F" w14:textId="77777777" w:rsidTr="00716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646" w:type="dxa"/>
            <w:gridSpan w:val="2"/>
            <w:vMerge/>
            <w:shd w:val="clear" w:color="000000" w:fill="FFFFFF"/>
            <w:noWrap/>
            <w:vAlign w:val="center"/>
            <w:hideMark/>
          </w:tcPr>
          <w:p w14:paraId="3133BBD8"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tcPr>
          <w:p w14:paraId="28BA0B49" w14:textId="2DA68E80" w:rsidR="00545AF2" w:rsidRPr="00E23B06" w:rsidRDefault="00545AF2" w:rsidP="00545AF2">
            <w:pPr>
              <w:spacing w:before="0" w:beforeAutospacing="0" w:after="0" w:afterAutospacing="0"/>
              <w:jc w:val="both"/>
              <w:rPr>
                <w:rFonts w:cs="Arial"/>
                <w:color w:val="000000"/>
                <w:szCs w:val="18"/>
              </w:rPr>
            </w:pPr>
            <w:r w:rsidRPr="00E23B06">
              <w:rPr>
                <w:rFonts w:cs="Arial"/>
                <w:color w:val="000000"/>
                <w:szCs w:val="18"/>
              </w:rPr>
              <w:t>f) disposer d’une procédure visant à s’assurer de la lisibilité des reproductions destinées à l’archivage de longue durée.</w:t>
            </w:r>
          </w:p>
        </w:tc>
        <w:tc>
          <w:tcPr>
            <w:tcW w:w="1350" w:type="dxa"/>
            <w:gridSpan w:val="2"/>
            <w:vMerge/>
            <w:vAlign w:val="center"/>
            <w:hideMark/>
          </w:tcPr>
          <w:p w14:paraId="044FC3BE"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031509CC" w14:textId="77777777" w:rsidR="00545AF2" w:rsidRPr="00A5045C" w:rsidRDefault="00545AF2" w:rsidP="00545AF2">
            <w:pPr>
              <w:spacing w:before="0" w:beforeAutospacing="0" w:after="0" w:afterAutospacing="0"/>
              <w:rPr>
                <w:rFonts w:cs="Arial"/>
                <w:szCs w:val="18"/>
              </w:rPr>
            </w:pPr>
          </w:p>
        </w:tc>
      </w:tr>
      <w:tr w:rsidR="00545AF2" w:rsidRPr="001148E2" w14:paraId="4504E702" w14:textId="77777777" w:rsidTr="00716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6" w:type="dxa"/>
            <w:gridSpan w:val="2"/>
            <w:shd w:val="clear" w:color="000000" w:fill="DDEBF7"/>
            <w:noWrap/>
            <w:vAlign w:val="center"/>
            <w:hideMark/>
          </w:tcPr>
          <w:p w14:paraId="06679A84" w14:textId="089B627D" w:rsidR="00545AF2" w:rsidRPr="00A5045C" w:rsidRDefault="00545AF2" w:rsidP="00545AF2">
            <w:pPr>
              <w:spacing w:before="0" w:beforeAutospacing="0" w:after="0" w:afterAutospacing="0"/>
              <w:jc w:val="center"/>
              <w:rPr>
                <w:rFonts w:cs="Arial"/>
                <w:b/>
                <w:bCs/>
                <w:szCs w:val="18"/>
              </w:rPr>
            </w:pPr>
            <w:r>
              <w:rPr>
                <w:rFonts w:cs="Arial"/>
                <w:b/>
                <w:bCs/>
                <w:szCs w:val="18"/>
              </w:rPr>
              <w:t>6.2</w:t>
            </w:r>
          </w:p>
        </w:tc>
        <w:tc>
          <w:tcPr>
            <w:tcW w:w="10211" w:type="dxa"/>
            <w:gridSpan w:val="2"/>
            <w:shd w:val="clear" w:color="000000" w:fill="DDEBF7"/>
            <w:noWrap/>
            <w:vAlign w:val="center"/>
          </w:tcPr>
          <w:p w14:paraId="4F9F5EBE" w14:textId="2FC2D377" w:rsidR="00545AF2" w:rsidRPr="00A5045C" w:rsidRDefault="00545AF2" w:rsidP="00545AF2">
            <w:pPr>
              <w:spacing w:before="0" w:beforeAutospacing="0" w:after="0" w:afterAutospacing="0"/>
              <w:jc w:val="both"/>
              <w:rPr>
                <w:rFonts w:cs="Arial"/>
                <w:b/>
                <w:bCs/>
                <w:szCs w:val="18"/>
              </w:rPr>
            </w:pPr>
            <w:r w:rsidRPr="00735052">
              <w:rPr>
                <w:rFonts w:cs="Arial"/>
                <w:b/>
                <w:bCs/>
                <w:szCs w:val="18"/>
              </w:rPr>
              <w:t>L’émetteur dispose d’une procédure de remboursement des titres papiers prenant notamment en compte les informations relatives aux incidents de perte ou vol de titres papiers et permettant aux accepteurs de disposer préalablement de ces informations lors du remboursement d’un titre papier.</w:t>
            </w:r>
          </w:p>
        </w:tc>
        <w:tc>
          <w:tcPr>
            <w:tcW w:w="1350" w:type="dxa"/>
            <w:gridSpan w:val="2"/>
            <w:shd w:val="clear" w:color="000000" w:fill="DDEBF7"/>
            <w:vAlign w:val="center"/>
            <w:hideMark/>
          </w:tcPr>
          <w:p w14:paraId="30027FFB"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6AF49BAB"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3BC1763B" w14:textId="77777777" w:rsidTr="00716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646" w:type="dxa"/>
            <w:gridSpan w:val="2"/>
            <w:vMerge w:val="restart"/>
            <w:shd w:val="clear" w:color="000000" w:fill="FFFFFF"/>
            <w:noWrap/>
            <w:vAlign w:val="center"/>
          </w:tcPr>
          <w:p w14:paraId="681F032D" w14:textId="77777777" w:rsidR="00112CE3" w:rsidRPr="00A5045C" w:rsidRDefault="00112CE3" w:rsidP="00112CE3">
            <w:pPr>
              <w:spacing w:before="0" w:after="0"/>
              <w:jc w:val="center"/>
              <w:rPr>
                <w:rFonts w:cs="Arial"/>
                <w:szCs w:val="18"/>
              </w:rPr>
            </w:pPr>
          </w:p>
        </w:tc>
        <w:tc>
          <w:tcPr>
            <w:tcW w:w="10211" w:type="dxa"/>
            <w:gridSpan w:val="2"/>
            <w:shd w:val="clear" w:color="000000" w:fill="FFFFFF"/>
            <w:noWrap/>
            <w:vAlign w:val="center"/>
          </w:tcPr>
          <w:p w14:paraId="08C9D22F" w14:textId="3A3E406E" w:rsidR="00112CE3" w:rsidRPr="00A5045C" w:rsidRDefault="00112CE3" w:rsidP="00112CE3">
            <w:pPr>
              <w:spacing w:before="0" w:beforeAutospacing="0" w:after="0" w:afterAutospacing="0"/>
              <w:jc w:val="both"/>
              <w:rPr>
                <w:rFonts w:cs="Arial"/>
                <w:szCs w:val="18"/>
              </w:rPr>
            </w:pPr>
            <w:r w:rsidRPr="00735052">
              <w:rPr>
                <w:rFonts w:cs="Arial"/>
                <w:szCs w:val="18"/>
              </w:rPr>
              <w:t>L’émetteur</w:t>
            </w:r>
            <w:r>
              <w:rPr>
                <w:rFonts w:cs="Arial"/>
                <w:szCs w:val="18"/>
              </w:rPr>
              <w:t> :</w:t>
            </w:r>
          </w:p>
        </w:tc>
        <w:tc>
          <w:tcPr>
            <w:tcW w:w="1350" w:type="dxa"/>
            <w:gridSpan w:val="2"/>
            <w:vMerge w:val="restart"/>
            <w:shd w:val="clear" w:color="000000" w:fill="FF0000"/>
            <w:vAlign w:val="center"/>
            <w:hideMark/>
          </w:tcPr>
          <w:p w14:paraId="4190F9B7" w14:textId="22D399AD"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71C8B480" w14:textId="04ADDDB3"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6D6F11D5"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646" w:type="dxa"/>
            <w:gridSpan w:val="2"/>
            <w:vMerge/>
            <w:shd w:val="clear" w:color="000000" w:fill="FFFFFF"/>
            <w:noWrap/>
            <w:vAlign w:val="center"/>
          </w:tcPr>
          <w:p w14:paraId="72DA09C3"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31B56372" w14:textId="2FEA1BA0" w:rsidR="00545AF2" w:rsidRPr="00A5045C" w:rsidRDefault="00545AF2" w:rsidP="00545AF2">
            <w:pPr>
              <w:spacing w:before="0" w:beforeAutospacing="0" w:after="0" w:afterAutospacing="0"/>
              <w:jc w:val="both"/>
              <w:rPr>
                <w:rFonts w:cs="Arial"/>
                <w:szCs w:val="18"/>
              </w:rPr>
            </w:pPr>
            <w:r w:rsidRPr="00735052">
              <w:rPr>
                <w:rFonts w:cs="Arial"/>
                <w:szCs w:val="18"/>
              </w:rPr>
              <w:t>a) a mis en place un circuit d’alerte qui permet aux autres acteurs de déclarer que des titres papier ont été volés, perdus ou détériorés et que cela empêche leur remboursement.</w:t>
            </w:r>
          </w:p>
        </w:tc>
        <w:tc>
          <w:tcPr>
            <w:tcW w:w="1350" w:type="dxa"/>
            <w:gridSpan w:val="2"/>
            <w:vMerge/>
            <w:shd w:val="clear" w:color="000000" w:fill="FF0000"/>
            <w:vAlign w:val="center"/>
          </w:tcPr>
          <w:p w14:paraId="16B4CB95" w14:textId="77777777" w:rsidR="00545AF2" w:rsidRDefault="00545AF2" w:rsidP="00545AF2">
            <w:pPr>
              <w:spacing w:before="0" w:beforeAutospacing="0" w:after="0" w:afterAutospacing="0"/>
              <w:jc w:val="center"/>
              <w:rPr>
                <w:rFonts w:cs="Arial"/>
                <w:szCs w:val="18"/>
              </w:rPr>
            </w:pPr>
          </w:p>
        </w:tc>
        <w:tc>
          <w:tcPr>
            <w:tcW w:w="2545" w:type="dxa"/>
            <w:gridSpan w:val="2"/>
            <w:vMerge/>
            <w:shd w:val="clear" w:color="auto" w:fill="FF0000"/>
            <w:vAlign w:val="center"/>
          </w:tcPr>
          <w:p w14:paraId="30F2CB54" w14:textId="77777777" w:rsidR="00545AF2" w:rsidRDefault="00545AF2" w:rsidP="00545AF2">
            <w:pPr>
              <w:spacing w:before="0" w:beforeAutospacing="0" w:after="0" w:afterAutospacing="0"/>
              <w:jc w:val="center"/>
              <w:rPr>
                <w:rFonts w:cs="Arial"/>
                <w:color w:val="000000"/>
                <w:szCs w:val="18"/>
              </w:rPr>
            </w:pPr>
          </w:p>
        </w:tc>
      </w:tr>
      <w:tr w:rsidR="00545AF2" w:rsidRPr="001148E2" w14:paraId="507D5C70" w14:textId="77777777" w:rsidTr="00716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646" w:type="dxa"/>
            <w:gridSpan w:val="2"/>
            <w:vMerge/>
            <w:shd w:val="clear" w:color="000000" w:fill="FFFFFF"/>
            <w:noWrap/>
            <w:vAlign w:val="center"/>
            <w:hideMark/>
          </w:tcPr>
          <w:p w14:paraId="07E18649"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71E9519E" w14:textId="541B8FD6" w:rsidR="00545AF2" w:rsidRPr="00A5045C" w:rsidRDefault="00545AF2" w:rsidP="00545AF2">
            <w:pPr>
              <w:spacing w:before="0" w:beforeAutospacing="0" w:after="0" w:afterAutospacing="0"/>
              <w:jc w:val="both"/>
              <w:rPr>
                <w:rFonts w:cs="Arial"/>
                <w:szCs w:val="18"/>
              </w:rPr>
            </w:pPr>
            <w:r w:rsidRPr="00735052">
              <w:rPr>
                <w:rFonts w:cs="Arial"/>
                <w:szCs w:val="18"/>
              </w:rPr>
              <w:t>b) dispose d’une procédure de mise en opposition des titres papier déclarés volés, perdus ou détériorés.</w:t>
            </w:r>
          </w:p>
        </w:tc>
        <w:tc>
          <w:tcPr>
            <w:tcW w:w="1350" w:type="dxa"/>
            <w:gridSpan w:val="2"/>
            <w:vMerge/>
            <w:vAlign w:val="center"/>
            <w:hideMark/>
          </w:tcPr>
          <w:p w14:paraId="1EED15F5"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08701FB7" w14:textId="77777777" w:rsidR="00545AF2" w:rsidRPr="00A5045C" w:rsidRDefault="00545AF2" w:rsidP="00545AF2">
            <w:pPr>
              <w:spacing w:before="0" w:beforeAutospacing="0" w:after="0" w:afterAutospacing="0"/>
              <w:rPr>
                <w:rFonts w:cs="Arial"/>
                <w:szCs w:val="18"/>
              </w:rPr>
            </w:pPr>
          </w:p>
        </w:tc>
      </w:tr>
      <w:tr w:rsidR="00545AF2" w:rsidRPr="001148E2" w14:paraId="2F6E94BE" w14:textId="77777777" w:rsidTr="00716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646" w:type="dxa"/>
            <w:gridSpan w:val="2"/>
            <w:vMerge/>
            <w:shd w:val="clear" w:color="000000" w:fill="FFFFFF"/>
            <w:noWrap/>
            <w:vAlign w:val="center"/>
            <w:hideMark/>
          </w:tcPr>
          <w:p w14:paraId="74500DED"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3E3323C0" w14:textId="0A8D6B84" w:rsidR="00545AF2" w:rsidRPr="00A5045C" w:rsidRDefault="00545AF2" w:rsidP="00545AF2">
            <w:pPr>
              <w:spacing w:before="0" w:beforeAutospacing="0" w:after="0" w:afterAutospacing="0"/>
              <w:jc w:val="both"/>
              <w:rPr>
                <w:rFonts w:cs="Arial"/>
                <w:szCs w:val="18"/>
              </w:rPr>
            </w:pPr>
            <w:r w:rsidRPr="00735052">
              <w:rPr>
                <w:rFonts w:cs="Arial"/>
                <w:szCs w:val="18"/>
              </w:rPr>
              <w:t>c) a mis en place une procédure permettant aux autres acteurs de savoir si un titre papier donné a été mis en opposition.</w:t>
            </w:r>
          </w:p>
        </w:tc>
        <w:tc>
          <w:tcPr>
            <w:tcW w:w="1350" w:type="dxa"/>
            <w:gridSpan w:val="2"/>
            <w:vMerge/>
            <w:vAlign w:val="center"/>
            <w:hideMark/>
          </w:tcPr>
          <w:p w14:paraId="4AEF50E5"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59FF3A5B" w14:textId="77777777" w:rsidR="00545AF2" w:rsidRPr="00A5045C" w:rsidRDefault="00545AF2" w:rsidP="00545AF2">
            <w:pPr>
              <w:spacing w:before="0" w:beforeAutospacing="0" w:after="0" w:afterAutospacing="0"/>
              <w:rPr>
                <w:rFonts w:cs="Arial"/>
                <w:szCs w:val="18"/>
              </w:rPr>
            </w:pPr>
          </w:p>
        </w:tc>
      </w:tr>
      <w:tr w:rsidR="00545AF2" w:rsidRPr="001148E2" w14:paraId="0D238AA4" w14:textId="77777777" w:rsidTr="00716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646" w:type="dxa"/>
            <w:gridSpan w:val="2"/>
            <w:vMerge/>
            <w:shd w:val="clear" w:color="000000" w:fill="FFFFFF"/>
            <w:noWrap/>
            <w:vAlign w:val="center"/>
            <w:hideMark/>
          </w:tcPr>
          <w:p w14:paraId="404D1524"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6830D0EE" w14:textId="794480BA" w:rsidR="00545AF2" w:rsidRPr="00A5045C" w:rsidRDefault="00545AF2" w:rsidP="00545AF2">
            <w:pPr>
              <w:spacing w:before="0" w:beforeAutospacing="0" w:after="0" w:afterAutospacing="0"/>
              <w:jc w:val="both"/>
              <w:rPr>
                <w:rFonts w:cs="Arial"/>
                <w:szCs w:val="18"/>
              </w:rPr>
            </w:pPr>
            <w:r>
              <w:rPr>
                <w:rFonts w:cs="Arial"/>
                <w:szCs w:val="18"/>
              </w:rPr>
              <w:t>d)</w:t>
            </w:r>
            <w:r w:rsidRPr="00735052">
              <w:rPr>
                <w:rFonts w:cs="Arial"/>
                <w:szCs w:val="18"/>
              </w:rPr>
              <w:t xml:space="preserve"> effectue une vérification régulière de la bonne application et de l’adéquation de son circuit d’alerte et de ses procédures de mise en opposition et d’information des acteurs. Il prend, le cas échéant, les mesures correctives qui apparaissent nécessaires.</w:t>
            </w:r>
          </w:p>
        </w:tc>
        <w:tc>
          <w:tcPr>
            <w:tcW w:w="1350" w:type="dxa"/>
            <w:gridSpan w:val="2"/>
            <w:vMerge/>
            <w:vAlign w:val="center"/>
            <w:hideMark/>
          </w:tcPr>
          <w:p w14:paraId="33CC25E9"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39D72141" w14:textId="77777777" w:rsidR="00545AF2" w:rsidRPr="00A5045C" w:rsidRDefault="00545AF2" w:rsidP="00545AF2">
            <w:pPr>
              <w:spacing w:before="0" w:beforeAutospacing="0" w:after="0" w:afterAutospacing="0"/>
              <w:rPr>
                <w:rFonts w:cs="Arial"/>
                <w:szCs w:val="18"/>
              </w:rPr>
            </w:pPr>
          </w:p>
        </w:tc>
      </w:tr>
      <w:tr w:rsidR="00545AF2" w:rsidRPr="001148E2" w14:paraId="763396A0"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6" w:type="dxa"/>
            <w:gridSpan w:val="2"/>
            <w:shd w:val="clear" w:color="000000" w:fill="DDEBF7"/>
            <w:noWrap/>
            <w:vAlign w:val="center"/>
            <w:hideMark/>
          </w:tcPr>
          <w:p w14:paraId="0F1C809A" w14:textId="3C3196BB" w:rsidR="00545AF2" w:rsidRPr="00A5045C" w:rsidRDefault="00545AF2" w:rsidP="00545AF2">
            <w:pPr>
              <w:spacing w:before="0" w:beforeAutospacing="0" w:after="0" w:afterAutospacing="0"/>
              <w:jc w:val="center"/>
              <w:rPr>
                <w:rFonts w:cs="Arial"/>
                <w:b/>
                <w:bCs/>
                <w:szCs w:val="18"/>
              </w:rPr>
            </w:pPr>
            <w:r>
              <w:rPr>
                <w:rFonts w:cs="Arial"/>
                <w:b/>
                <w:bCs/>
                <w:szCs w:val="18"/>
              </w:rPr>
              <w:t>6.3</w:t>
            </w:r>
            <w:r w:rsidRPr="00A5045C">
              <w:rPr>
                <w:rFonts w:cs="Arial"/>
                <w:b/>
                <w:bCs/>
                <w:szCs w:val="18"/>
              </w:rPr>
              <w:t xml:space="preserve"> </w:t>
            </w:r>
          </w:p>
        </w:tc>
        <w:tc>
          <w:tcPr>
            <w:tcW w:w="10211" w:type="dxa"/>
            <w:gridSpan w:val="2"/>
            <w:shd w:val="clear" w:color="000000" w:fill="DDEBF7"/>
            <w:noWrap/>
            <w:vAlign w:val="center"/>
          </w:tcPr>
          <w:p w14:paraId="537E556F" w14:textId="542098CD" w:rsidR="00545AF2" w:rsidRPr="00A5045C" w:rsidRDefault="00545AF2" w:rsidP="00545AF2">
            <w:pPr>
              <w:spacing w:before="0" w:beforeAutospacing="0" w:after="0" w:afterAutospacing="0"/>
              <w:jc w:val="both"/>
              <w:rPr>
                <w:rFonts w:cs="Arial"/>
                <w:b/>
                <w:bCs/>
                <w:szCs w:val="18"/>
              </w:rPr>
            </w:pPr>
            <w:r w:rsidRPr="00735052">
              <w:rPr>
                <w:rFonts w:cs="Arial"/>
                <w:b/>
                <w:bCs/>
                <w:szCs w:val="18"/>
              </w:rPr>
              <w:t>L’émetteur s’assure qu’un titre papier ne peut être remboursé qu’une seule fois quelle que soit la modalité choisie parmi celles qui sont offertes par l’émetteur.</w:t>
            </w:r>
          </w:p>
        </w:tc>
        <w:tc>
          <w:tcPr>
            <w:tcW w:w="1350" w:type="dxa"/>
            <w:gridSpan w:val="2"/>
            <w:shd w:val="clear" w:color="000000" w:fill="DDEBF7"/>
            <w:vAlign w:val="center"/>
            <w:hideMark/>
          </w:tcPr>
          <w:p w14:paraId="30A053B9"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11B8B63A"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37B94BF3"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646" w:type="dxa"/>
            <w:gridSpan w:val="2"/>
            <w:vMerge w:val="restart"/>
            <w:shd w:val="clear" w:color="000000" w:fill="FFFFFF"/>
            <w:noWrap/>
            <w:vAlign w:val="center"/>
          </w:tcPr>
          <w:p w14:paraId="342663DF" w14:textId="77777777" w:rsidR="00112CE3" w:rsidRPr="00A5045C" w:rsidRDefault="00112CE3" w:rsidP="00112CE3">
            <w:pPr>
              <w:spacing w:before="0" w:after="0"/>
              <w:jc w:val="center"/>
              <w:rPr>
                <w:rFonts w:cs="Arial"/>
                <w:szCs w:val="18"/>
              </w:rPr>
            </w:pPr>
          </w:p>
        </w:tc>
        <w:tc>
          <w:tcPr>
            <w:tcW w:w="10211" w:type="dxa"/>
            <w:gridSpan w:val="2"/>
            <w:shd w:val="clear" w:color="000000" w:fill="FFFFFF"/>
            <w:noWrap/>
            <w:vAlign w:val="center"/>
          </w:tcPr>
          <w:p w14:paraId="3FD243A5" w14:textId="25A61908" w:rsidR="00112CE3" w:rsidRPr="00A5045C" w:rsidRDefault="00112CE3" w:rsidP="00112CE3">
            <w:pPr>
              <w:spacing w:before="0" w:beforeAutospacing="0" w:after="0" w:afterAutospacing="0"/>
              <w:jc w:val="both"/>
              <w:rPr>
                <w:rFonts w:cs="Arial"/>
                <w:szCs w:val="18"/>
              </w:rPr>
            </w:pPr>
            <w:r w:rsidRPr="00735052">
              <w:rPr>
                <w:rFonts w:cs="Arial"/>
                <w:szCs w:val="18"/>
              </w:rPr>
              <w:t>L’émetteur</w:t>
            </w:r>
            <w:r>
              <w:rPr>
                <w:rFonts w:cs="Arial"/>
                <w:szCs w:val="18"/>
              </w:rPr>
              <w:t> :</w:t>
            </w:r>
          </w:p>
        </w:tc>
        <w:tc>
          <w:tcPr>
            <w:tcW w:w="1350" w:type="dxa"/>
            <w:gridSpan w:val="2"/>
            <w:vMerge w:val="restart"/>
            <w:shd w:val="clear" w:color="000000" w:fill="FF0000"/>
            <w:vAlign w:val="center"/>
            <w:hideMark/>
          </w:tcPr>
          <w:p w14:paraId="0079DE6C" w14:textId="70B18108"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5E5681AA" w14:textId="2E8C5304" w:rsidR="00112CE3" w:rsidRPr="00A5045C" w:rsidRDefault="00112CE3" w:rsidP="00112CE3">
            <w:pPr>
              <w:spacing w:before="0" w:beforeAutospacing="0" w:after="0" w:afterAutospacing="0"/>
              <w:jc w:val="center"/>
              <w:rPr>
                <w:rFonts w:cs="Arial"/>
                <w:szCs w:val="18"/>
              </w:rPr>
            </w:pPr>
            <w:r>
              <w:rPr>
                <w:rFonts w:cs="Arial"/>
                <w:color w:val="000000"/>
                <w:szCs w:val="18"/>
              </w:rPr>
              <w:t xml:space="preserve">500 caractères </w:t>
            </w:r>
            <w:r w:rsidR="00D271EB" w:rsidRPr="00146FA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545AF2" w:rsidRPr="001148E2" w14:paraId="57429FB0"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646" w:type="dxa"/>
            <w:gridSpan w:val="2"/>
            <w:vMerge/>
            <w:shd w:val="clear" w:color="000000" w:fill="FFFFFF"/>
            <w:noWrap/>
            <w:vAlign w:val="center"/>
            <w:hideMark/>
          </w:tcPr>
          <w:p w14:paraId="0198EC20"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62A72F69" w14:textId="0F8A7FAA" w:rsidR="00545AF2" w:rsidRPr="00A5045C" w:rsidRDefault="00545AF2" w:rsidP="00545AF2">
            <w:pPr>
              <w:spacing w:before="0" w:beforeAutospacing="0" w:after="0" w:afterAutospacing="0"/>
              <w:jc w:val="both"/>
              <w:rPr>
                <w:rFonts w:cs="Arial"/>
                <w:szCs w:val="18"/>
              </w:rPr>
            </w:pPr>
            <w:r w:rsidRPr="00054095">
              <w:rPr>
                <w:rFonts w:cs="Arial"/>
                <w:szCs w:val="18"/>
              </w:rPr>
              <w:t>a) dispose d’une procédure éprouvée et régulièrement actualisée lui permettant de s’assurer qu’il ne rembourse un même titre qu’une seule fois, quelle que soit la forme de ce titre (papier ou dématérialisée) ;</w:t>
            </w:r>
          </w:p>
        </w:tc>
        <w:tc>
          <w:tcPr>
            <w:tcW w:w="1350" w:type="dxa"/>
            <w:gridSpan w:val="2"/>
            <w:vMerge/>
            <w:vAlign w:val="center"/>
            <w:hideMark/>
          </w:tcPr>
          <w:p w14:paraId="42D2BA4B"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2941AACF" w14:textId="77777777" w:rsidR="00545AF2" w:rsidRPr="00A5045C" w:rsidRDefault="00545AF2" w:rsidP="00545AF2">
            <w:pPr>
              <w:spacing w:before="0" w:beforeAutospacing="0" w:after="0" w:afterAutospacing="0"/>
              <w:rPr>
                <w:rFonts w:cs="Arial"/>
                <w:szCs w:val="18"/>
              </w:rPr>
            </w:pPr>
          </w:p>
        </w:tc>
      </w:tr>
      <w:tr w:rsidR="00545AF2" w:rsidRPr="001148E2" w14:paraId="6B73E408"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7"/>
        </w:trPr>
        <w:tc>
          <w:tcPr>
            <w:tcW w:w="646" w:type="dxa"/>
            <w:gridSpan w:val="2"/>
            <w:vMerge/>
            <w:shd w:val="clear" w:color="000000" w:fill="FFFFFF"/>
            <w:noWrap/>
            <w:vAlign w:val="center"/>
            <w:hideMark/>
          </w:tcPr>
          <w:p w14:paraId="4EE95F71"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tcPr>
          <w:p w14:paraId="69FF50AF" w14:textId="04E93647" w:rsidR="00545AF2" w:rsidRPr="00A5045C" w:rsidRDefault="00545AF2" w:rsidP="00545AF2">
            <w:pPr>
              <w:spacing w:before="0" w:beforeAutospacing="0" w:after="0" w:afterAutospacing="0"/>
              <w:jc w:val="both"/>
              <w:rPr>
                <w:rFonts w:cs="Arial"/>
                <w:szCs w:val="18"/>
              </w:rPr>
            </w:pPr>
            <w:r w:rsidRPr="00054095">
              <w:rPr>
                <w:rFonts w:cs="Arial"/>
                <w:szCs w:val="18"/>
              </w:rPr>
              <w:t>b) intervient</w:t>
            </w:r>
            <w:r>
              <w:rPr>
                <w:rFonts w:cs="Arial"/>
                <w:szCs w:val="18"/>
              </w:rPr>
              <w:t>, l</w:t>
            </w:r>
            <w:r w:rsidRPr="00054095">
              <w:rPr>
                <w:rFonts w:cs="Arial"/>
                <w:szCs w:val="18"/>
              </w:rPr>
              <w:t>ors d’une dema</w:t>
            </w:r>
            <w:r>
              <w:rPr>
                <w:rFonts w:cs="Arial"/>
                <w:szCs w:val="18"/>
              </w:rPr>
              <w:t>nde de remboursement en double,</w:t>
            </w:r>
            <w:r w:rsidRPr="00054095">
              <w:rPr>
                <w:rFonts w:cs="Arial"/>
                <w:szCs w:val="18"/>
              </w:rPr>
              <w:t xml:space="preserve"> auprès de l’acteur concerné et prend toute mesure utile visant à limiter le risque de répétition de l’incident. Lors de la procédure de gestion des doubles présentations physique/dématérialisé, il s’assure du caractère effectif de la récupération, auprès du bénéficiaire, des sommes versées auprès des accepteurs.</w:t>
            </w:r>
          </w:p>
        </w:tc>
        <w:tc>
          <w:tcPr>
            <w:tcW w:w="1350" w:type="dxa"/>
            <w:gridSpan w:val="2"/>
            <w:vMerge/>
            <w:vAlign w:val="center"/>
            <w:hideMark/>
          </w:tcPr>
          <w:p w14:paraId="02C7333A"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2F04EFE5" w14:textId="77777777" w:rsidR="00545AF2" w:rsidRPr="00A5045C" w:rsidRDefault="00545AF2" w:rsidP="00545AF2">
            <w:pPr>
              <w:spacing w:before="0" w:beforeAutospacing="0" w:after="0" w:afterAutospacing="0"/>
              <w:rPr>
                <w:rFonts w:cs="Arial"/>
                <w:szCs w:val="18"/>
              </w:rPr>
            </w:pPr>
          </w:p>
        </w:tc>
      </w:tr>
      <w:tr w:rsidR="00545AF2" w:rsidRPr="001148E2" w14:paraId="2055ED87"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6" w:type="dxa"/>
            <w:gridSpan w:val="2"/>
            <w:shd w:val="clear" w:color="000000" w:fill="DDEBF7"/>
            <w:noWrap/>
            <w:vAlign w:val="center"/>
            <w:hideMark/>
          </w:tcPr>
          <w:p w14:paraId="21A87C50" w14:textId="3F23835B" w:rsidR="00545AF2" w:rsidRPr="00A5045C" w:rsidRDefault="00545AF2" w:rsidP="00545AF2">
            <w:pPr>
              <w:spacing w:before="0" w:beforeAutospacing="0" w:after="0" w:afterAutospacing="0"/>
              <w:jc w:val="center"/>
              <w:rPr>
                <w:rFonts w:cs="Arial"/>
                <w:b/>
                <w:bCs/>
                <w:szCs w:val="18"/>
              </w:rPr>
            </w:pPr>
            <w:r>
              <w:rPr>
                <w:rFonts w:cs="Arial"/>
                <w:b/>
                <w:bCs/>
                <w:szCs w:val="18"/>
              </w:rPr>
              <w:t>6.4</w:t>
            </w:r>
          </w:p>
        </w:tc>
        <w:tc>
          <w:tcPr>
            <w:tcW w:w="10211" w:type="dxa"/>
            <w:gridSpan w:val="2"/>
            <w:shd w:val="clear" w:color="000000" w:fill="DDEBF7"/>
            <w:noWrap/>
            <w:vAlign w:val="center"/>
          </w:tcPr>
          <w:p w14:paraId="57B5C980" w14:textId="4766E66C" w:rsidR="00545AF2" w:rsidRPr="00A5045C" w:rsidRDefault="00545AF2" w:rsidP="00545AF2">
            <w:pPr>
              <w:spacing w:before="0" w:beforeAutospacing="0" w:after="0" w:afterAutospacing="0"/>
              <w:jc w:val="both"/>
              <w:rPr>
                <w:rFonts w:cs="Arial"/>
                <w:b/>
                <w:bCs/>
                <w:szCs w:val="18"/>
              </w:rPr>
            </w:pPr>
            <w:r w:rsidRPr="00054095">
              <w:rPr>
                <w:rFonts w:cs="Arial"/>
                <w:b/>
                <w:bCs/>
                <w:szCs w:val="18"/>
              </w:rPr>
              <w:t>Les accepteurs reçoivent des émetteurs les informations nécessaires à la reconnaissance des titres papier contrefaits, en opposition ou nuls (déjà remboursés en dématérialisés).</w:t>
            </w:r>
          </w:p>
        </w:tc>
        <w:tc>
          <w:tcPr>
            <w:tcW w:w="1350" w:type="dxa"/>
            <w:gridSpan w:val="2"/>
            <w:shd w:val="clear" w:color="000000" w:fill="DDEBF7"/>
            <w:vAlign w:val="center"/>
            <w:hideMark/>
          </w:tcPr>
          <w:p w14:paraId="7400156E"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4243064F"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37F8A38C"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646" w:type="dxa"/>
            <w:gridSpan w:val="2"/>
            <w:vMerge w:val="restart"/>
            <w:shd w:val="clear" w:color="000000" w:fill="FFFFFF"/>
            <w:noWrap/>
            <w:vAlign w:val="center"/>
          </w:tcPr>
          <w:p w14:paraId="1B860BF1" w14:textId="77777777" w:rsidR="00112CE3" w:rsidRPr="00A5045C" w:rsidRDefault="00112CE3" w:rsidP="00112CE3">
            <w:pPr>
              <w:spacing w:before="0" w:after="0"/>
              <w:jc w:val="center"/>
              <w:rPr>
                <w:rFonts w:cs="Arial"/>
                <w:szCs w:val="18"/>
              </w:rPr>
            </w:pPr>
          </w:p>
        </w:tc>
        <w:tc>
          <w:tcPr>
            <w:tcW w:w="10211" w:type="dxa"/>
            <w:gridSpan w:val="2"/>
            <w:shd w:val="clear" w:color="000000" w:fill="FFFFFF"/>
            <w:noWrap/>
            <w:vAlign w:val="center"/>
          </w:tcPr>
          <w:p w14:paraId="0084E35D" w14:textId="0E593DE4" w:rsidR="00112CE3" w:rsidRPr="00A5045C" w:rsidRDefault="00112CE3" w:rsidP="00112CE3">
            <w:pPr>
              <w:spacing w:before="0" w:beforeAutospacing="0" w:after="0" w:afterAutospacing="0"/>
              <w:jc w:val="both"/>
              <w:rPr>
                <w:rFonts w:cs="Arial"/>
                <w:szCs w:val="18"/>
              </w:rPr>
            </w:pPr>
            <w:r w:rsidRPr="00735052">
              <w:rPr>
                <w:rFonts w:cs="Arial"/>
                <w:szCs w:val="18"/>
              </w:rPr>
              <w:t>L’émetteur</w:t>
            </w:r>
            <w:r>
              <w:rPr>
                <w:rFonts w:cs="Arial"/>
                <w:szCs w:val="18"/>
              </w:rPr>
              <w:t> :</w:t>
            </w:r>
          </w:p>
        </w:tc>
        <w:tc>
          <w:tcPr>
            <w:tcW w:w="1350" w:type="dxa"/>
            <w:gridSpan w:val="2"/>
            <w:vMerge w:val="restart"/>
            <w:shd w:val="clear" w:color="000000" w:fill="FF0000"/>
            <w:vAlign w:val="center"/>
            <w:hideMark/>
          </w:tcPr>
          <w:p w14:paraId="05130CDA" w14:textId="45EA2BB6"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46E0C529" w14:textId="60684EEC"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110315EE"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58A710CB"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1C3C1AE8" w14:textId="6E68B640" w:rsidR="00545AF2" w:rsidRPr="00A5045C" w:rsidRDefault="00545AF2" w:rsidP="00545AF2">
            <w:pPr>
              <w:spacing w:before="0" w:beforeAutospacing="0" w:after="0" w:afterAutospacing="0"/>
              <w:jc w:val="both"/>
              <w:rPr>
                <w:rFonts w:cs="Arial"/>
                <w:szCs w:val="18"/>
              </w:rPr>
            </w:pPr>
            <w:r>
              <w:rPr>
                <w:rFonts w:cs="Arial"/>
                <w:szCs w:val="18"/>
              </w:rPr>
              <w:t>a)</w:t>
            </w:r>
            <w:r w:rsidRPr="00054095">
              <w:rPr>
                <w:rFonts w:cs="Arial"/>
                <w:szCs w:val="18"/>
              </w:rPr>
              <w:t xml:space="preserve"> met à la disposition des bénéficiaires des titres papier comportant un ou plusieurs procédés destinés à protéger ceux-ci contre la falsification et la contrefaçon (ex : papier sensible au lavage et au grattage, encres réagissant à divers types d’éclairages, micro lettres, filigranes, etc.).</w:t>
            </w:r>
          </w:p>
        </w:tc>
        <w:tc>
          <w:tcPr>
            <w:tcW w:w="1350" w:type="dxa"/>
            <w:gridSpan w:val="2"/>
            <w:vMerge/>
            <w:vAlign w:val="center"/>
            <w:hideMark/>
          </w:tcPr>
          <w:p w14:paraId="48E103FB"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7B629BE2" w14:textId="77777777" w:rsidR="00545AF2" w:rsidRPr="00A5045C" w:rsidRDefault="00545AF2" w:rsidP="00545AF2">
            <w:pPr>
              <w:spacing w:before="0" w:beforeAutospacing="0" w:after="0" w:afterAutospacing="0"/>
              <w:rPr>
                <w:rFonts w:cs="Arial"/>
                <w:szCs w:val="18"/>
              </w:rPr>
            </w:pPr>
          </w:p>
        </w:tc>
      </w:tr>
      <w:tr w:rsidR="00545AF2" w:rsidRPr="001148E2" w14:paraId="79A9C17E"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646" w:type="dxa"/>
            <w:gridSpan w:val="2"/>
            <w:vMerge/>
            <w:shd w:val="clear" w:color="000000" w:fill="FFFFFF"/>
            <w:noWrap/>
            <w:vAlign w:val="center"/>
            <w:hideMark/>
          </w:tcPr>
          <w:p w14:paraId="56EE3491"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tcPr>
          <w:p w14:paraId="0B6370E0" w14:textId="2AED7954" w:rsidR="00545AF2" w:rsidRPr="00A5045C" w:rsidRDefault="00545AF2" w:rsidP="00545AF2">
            <w:pPr>
              <w:spacing w:before="0" w:beforeAutospacing="0" w:after="0" w:afterAutospacing="0"/>
              <w:jc w:val="both"/>
              <w:rPr>
                <w:rFonts w:cs="Arial"/>
                <w:szCs w:val="18"/>
              </w:rPr>
            </w:pPr>
            <w:r w:rsidRPr="00054095">
              <w:rPr>
                <w:rFonts w:cs="Arial"/>
                <w:szCs w:val="18"/>
              </w:rPr>
              <w:t>b) informe les acteurs impliqués dans le traitement des formules papier des procédés dont il a doté ses formules afin de leur permettre d’être mieux protégés contre la falsification et la contrefaçon.</w:t>
            </w:r>
          </w:p>
        </w:tc>
        <w:tc>
          <w:tcPr>
            <w:tcW w:w="1350" w:type="dxa"/>
            <w:gridSpan w:val="2"/>
            <w:vMerge/>
            <w:vAlign w:val="center"/>
            <w:hideMark/>
          </w:tcPr>
          <w:p w14:paraId="00EDFED2"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45556FAB" w14:textId="77777777" w:rsidR="00545AF2" w:rsidRPr="00A5045C" w:rsidRDefault="00545AF2" w:rsidP="00545AF2">
            <w:pPr>
              <w:spacing w:before="0" w:beforeAutospacing="0" w:after="0" w:afterAutospacing="0"/>
              <w:rPr>
                <w:rFonts w:cs="Arial"/>
                <w:szCs w:val="18"/>
              </w:rPr>
            </w:pPr>
          </w:p>
        </w:tc>
      </w:tr>
      <w:tr w:rsidR="00545AF2" w:rsidRPr="001148E2" w14:paraId="1EE9A743"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646" w:type="dxa"/>
            <w:gridSpan w:val="2"/>
            <w:shd w:val="clear" w:color="000000" w:fill="DDEBF7"/>
            <w:noWrap/>
            <w:vAlign w:val="center"/>
            <w:hideMark/>
          </w:tcPr>
          <w:p w14:paraId="69EE9CEE" w14:textId="71A0ED00" w:rsidR="00545AF2" w:rsidRPr="00A5045C" w:rsidRDefault="00545AF2" w:rsidP="00545AF2">
            <w:pPr>
              <w:spacing w:before="0" w:beforeAutospacing="0" w:after="0" w:afterAutospacing="0"/>
              <w:jc w:val="center"/>
              <w:rPr>
                <w:rFonts w:cs="Arial"/>
                <w:b/>
                <w:bCs/>
                <w:szCs w:val="18"/>
              </w:rPr>
            </w:pPr>
            <w:r w:rsidRPr="00A5045C">
              <w:rPr>
                <w:rFonts w:cs="Arial"/>
                <w:b/>
                <w:bCs/>
                <w:szCs w:val="18"/>
              </w:rPr>
              <w:t>6.</w:t>
            </w:r>
            <w:r>
              <w:rPr>
                <w:rFonts w:cs="Arial"/>
                <w:b/>
                <w:bCs/>
                <w:szCs w:val="18"/>
              </w:rPr>
              <w:t>5</w:t>
            </w:r>
            <w:r w:rsidRPr="00A5045C">
              <w:rPr>
                <w:rFonts w:cs="Arial"/>
                <w:b/>
                <w:bCs/>
                <w:szCs w:val="18"/>
              </w:rPr>
              <w:t xml:space="preserve"> </w:t>
            </w:r>
          </w:p>
        </w:tc>
        <w:tc>
          <w:tcPr>
            <w:tcW w:w="10211" w:type="dxa"/>
            <w:gridSpan w:val="2"/>
            <w:shd w:val="clear" w:color="000000" w:fill="DDEBF7"/>
            <w:noWrap/>
            <w:vAlign w:val="center"/>
          </w:tcPr>
          <w:p w14:paraId="0207346D" w14:textId="424D9D88" w:rsidR="00545AF2" w:rsidRPr="00A5045C" w:rsidRDefault="00545AF2" w:rsidP="00545AF2">
            <w:pPr>
              <w:spacing w:before="0" w:beforeAutospacing="0" w:after="0" w:afterAutospacing="0"/>
              <w:jc w:val="both"/>
              <w:rPr>
                <w:rFonts w:cs="Arial"/>
                <w:b/>
                <w:bCs/>
                <w:szCs w:val="18"/>
              </w:rPr>
            </w:pPr>
            <w:r w:rsidRPr="00054095">
              <w:rPr>
                <w:rFonts w:cs="Arial"/>
                <w:b/>
                <w:bCs/>
                <w:szCs w:val="18"/>
              </w:rPr>
              <w:t>Les environnements de production (centres de fabrication et personnalisation, plateaux informatiques, plates-formes de gestion ou d’archivage temporaire et long terme) sont situés dans des locaux bénéficiant de mesures de sécurité adaptées aux risques encourus. Le fonctionnement et l’efficacité de ces mesures sont régulièrement testés et leur accès est strictement encadré.</w:t>
            </w:r>
          </w:p>
        </w:tc>
        <w:tc>
          <w:tcPr>
            <w:tcW w:w="1350" w:type="dxa"/>
            <w:gridSpan w:val="2"/>
            <w:shd w:val="clear" w:color="000000" w:fill="DDEBF7"/>
            <w:vAlign w:val="center"/>
            <w:hideMark/>
          </w:tcPr>
          <w:p w14:paraId="6972E488"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77B61251"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7EEF66BE"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646" w:type="dxa"/>
            <w:gridSpan w:val="2"/>
            <w:vMerge w:val="restart"/>
            <w:shd w:val="clear" w:color="000000" w:fill="FFFFFF"/>
            <w:noWrap/>
            <w:vAlign w:val="center"/>
          </w:tcPr>
          <w:p w14:paraId="04C2764E" w14:textId="77777777" w:rsidR="00112CE3" w:rsidRPr="00A5045C" w:rsidRDefault="00112CE3" w:rsidP="00112CE3">
            <w:pPr>
              <w:spacing w:before="0" w:after="0"/>
              <w:jc w:val="center"/>
              <w:rPr>
                <w:rFonts w:cs="Arial"/>
                <w:szCs w:val="18"/>
              </w:rPr>
            </w:pPr>
          </w:p>
        </w:tc>
        <w:tc>
          <w:tcPr>
            <w:tcW w:w="10211" w:type="dxa"/>
            <w:gridSpan w:val="2"/>
            <w:shd w:val="clear" w:color="000000" w:fill="FFFFFF"/>
            <w:noWrap/>
            <w:vAlign w:val="center"/>
          </w:tcPr>
          <w:p w14:paraId="33415452" w14:textId="4FFE2EE1" w:rsidR="00112CE3" w:rsidRPr="00A5045C" w:rsidRDefault="00112CE3" w:rsidP="00112CE3">
            <w:pPr>
              <w:spacing w:before="0" w:beforeAutospacing="0" w:after="0" w:afterAutospacing="0"/>
              <w:jc w:val="both"/>
              <w:rPr>
                <w:rFonts w:cs="Arial"/>
                <w:szCs w:val="18"/>
              </w:rPr>
            </w:pPr>
            <w:r w:rsidRPr="00735052">
              <w:rPr>
                <w:rFonts w:cs="Arial"/>
                <w:szCs w:val="18"/>
              </w:rPr>
              <w:t>L’émetteur</w:t>
            </w:r>
            <w:r>
              <w:rPr>
                <w:rFonts w:cs="Arial"/>
                <w:szCs w:val="18"/>
              </w:rPr>
              <w:t> :</w:t>
            </w:r>
          </w:p>
        </w:tc>
        <w:tc>
          <w:tcPr>
            <w:tcW w:w="1350" w:type="dxa"/>
            <w:gridSpan w:val="2"/>
            <w:vMerge w:val="restart"/>
            <w:shd w:val="clear" w:color="000000" w:fill="FF0000"/>
            <w:vAlign w:val="center"/>
            <w:hideMark/>
          </w:tcPr>
          <w:p w14:paraId="6C4C9A4A" w14:textId="6C4545BF"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51C7F42E" w14:textId="4D62FD9E"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532700B5"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646" w:type="dxa"/>
            <w:gridSpan w:val="2"/>
            <w:vMerge/>
            <w:shd w:val="clear" w:color="000000" w:fill="FFFFFF"/>
            <w:noWrap/>
            <w:vAlign w:val="center"/>
            <w:hideMark/>
          </w:tcPr>
          <w:p w14:paraId="414585A7"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2325309C" w14:textId="41EA6BC1" w:rsidR="00545AF2" w:rsidRPr="00A5045C" w:rsidRDefault="00545AF2" w:rsidP="00545AF2">
            <w:pPr>
              <w:spacing w:before="0" w:beforeAutospacing="0" w:after="0" w:afterAutospacing="0"/>
              <w:jc w:val="both"/>
              <w:rPr>
                <w:rFonts w:cs="Arial"/>
                <w:szCs w:val="18"/>
              </w:rPr>
            </w:pPr>
            <w:r>
              <w:rPr>
                <w:rFonts w:cs="Arial"/>
                <w:szCs w:val="18"/>
              </w:rPr>
              <w:t>a)</w:t>
            </w:r>
            <w:r w:rsidRPr="00054095">
              <w:rPr>
                <w:rFonts w:cs="Arial"/>
                <w:szCs w:val="18"/>
              </w:rPr>
              <w:t xml:space="preserve"> dispose d’un plan de sécurité physique couvrant tous les locaux affectés aux activités se rapportant aux titres papier. Ces locaux sont notamment ceux dans lesquels sont fabriqués, stockés, échangés, remboursés ou détruits les titres papier. Ce sont également ceux des plateformes de gestion qui donnent accès aux logiciels de traitement des opérations, les plateaux informatiques qui hébergent les infrastructures de réseaux ou les matériels de tri-capture, ou encore les lieux de stockage temporaire ou d’archivage long terme des actifs logiques (reproductions, données de remboursement).</w:t>
            </w:r>
          </w:p>
        </w:tc>
        <w:tc>
          <w:tcPr>
            <w:tcW w:w="1350" w:type="dxa"/>
            <w:gridSpan w:val="2"/>
            <w:vMerge/>
            <w:vAlign w:val="center"/>
            <w:hideMark/>
          </w:tcPr>
          <w:p w14:paraId="64C69B73"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32466F42" w14:textId="77777777" w:rsidR="00545AF2" w:rsidRPr="00A5045C" w:rsidRDefault="00545AF2" w:rsidP="00545AF2">
            <w:pPr>
              <w:spacing w:before="0" w:beforeAutospacing="0" w:after="0" w:afterAutospacing="0"/>
              <w:rPr>
                <w:rFonts w:cs="Arial"/>
                <w:szCs w:val="18"/>
              </w:rPr>
            </w:pPr>
          </w:p>
        </w:tc>
      </w:tr>
      <w:tr w:rsidR="00545AF2" w:rsidRPr="001148E2" w14:paraId="3A0EB17B"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1A52EF68"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7AB71F7A" w14:textId="7F71B9C9" w:rsidR="00545AF2" w:rsidRPr="00A5045C" w:rsidRDefault="00545AF2" w:rsidP="00545AF2">
            <w:pPr>
              <w:spacing w:before="0" w:beforeAutospacing="0" w:after="0" w:afterAutospacing="0"/>
              <w:jc w:val="both"/>
              <w:rPr>
                <w:rFonts w:cs="Arial"/>
                <w:szCs w:val="18"/>
              </w:rPr>
            </w:pPr>
            <w:r w:rsidRPr="00054095">
              <w:rPr>
                <w:rFonts w:cs="Arial"/>
                <w:szCs w:val="18"/>
              </w:rPr>
              <w:t>b) prévoit</w:t>
            </w:r>
            <w:r>
              <w:rPr>
                <w:rFonts w:cs="Arial"/>
                <w:szCs w:val="18"/>
              </w:rPr>
              <w:t>,</w:t>
            </w:r>
            <w:r w:rsidRPr="00054095">
              <w:rPr>
                <w:rFonts w:cs="Arial"/>
                <w:szCs w:val="18"/>
              </w:rPr>
              <w:t xml:space="preserve"> </w:t>
            </w:r>
            <w:r>
              <w:rPr>
                <w:rFonts w:cs="Arial"/>
                <w:szCs w:val="18"/>
              </w:rPr>
              <w:t>dans l</w:t>
            </w:r>
            <w:r w:rsidRPr="00054095">
              <w:rPr>
                <w:rFonts w:cs="Arial"/>
                <w:szCs w:val="18"/>
              </w:rPr>
              <w:t>e plan de sécurité physique des locaux</w:t>
            </w:r>
            <w:r>
              <w:rPr>
                <w:rFonts w:cs="Arial"/>
                <w:szCs w:val="18"/>
              </w:rPr>
              <w:t>,</w:t>
            </w:r>
            <w:r w:rsidRPr="00054095">
              <w:rPr>
                <w:rFonts w:cs="Arial"/>
                <w:szCs w:val="18"/>
              </w:rPr>
              <w:t xml:space="preserve"> des mesures adaptées aux risques relatifs aux biens qui y sont gérés qui couvrent au moins la protection contre l’incendie, les incidents liés à l’alimentation en fluides (eau, électricité) et la lutte contre l’intrusion et sont régulièrement testées et vérifiées.</w:t>
            </w:r>
          </w:p>
        </w:tc>
        <w:tc>
          <w:tcPr>
            <w:tcW w:w="1350" w:type="dxa"/>
            <w:gridSpan w:val="2"/>
            <w:vMerge/>
            <w:vAlign w:val="center"/>
            <w:hideMark/>
          </w:tcPr>
          <w:p w14:paraId="5E3F7C16"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44884011" w14:textId="77777777" w:rsidR="00545AF2" w:rsidRPr="00A5045C" w:rsidRDefault="00545AF2" w:rsidP="00545AF2">
            <w:pPr>
              <w:spacing w:before="0" w:beforeAutospacing="0" w:after="0" w:afterAutospacing="0"/>
              <w:rPr>
                <w:rFonts w:cs="Arial"/>
                <w:szCs w:val="18"/>
              </w:rPr>
            </w:pPr>
          </w:p>
        </w:tc>
      </w:tr>
      <w:tr w:rsidR="00545AF2" w:rsidRPr="001148E2" w14:paraId="7EAC9364" w14:textId="77777777" w:rsidTr="00716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646" w:type="dxa"/>
            <w:gridSpan w:val="2"/>
            <w:vMerge/>
            <w:shd w:val="clear" w:color="000000" w:fill="FFFFFF"/>
            <w:noWrap/>
            <w:vAlign w:val="center"/>
            <w:hideMark/>
          </w:tcPr>
          <w:p w14:paraId="60BB8556"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14F7234A" w14:textId="06DC8E3C" w:rsidR="00545AF2" w:rsidRPr="00A5045C" w:rsidRDefault="00545AF2" w:rsidP="00545AF2">
            <w:pPr>
              <w:spacing w:before="0" w:beforeAutospacing="0" w:after="0" w:afterAutospacing="0"/>
              <w:jc w:val="both"/>
              <w:rPr>
                <w:rFonts w:cs="Arial"/>
                <w:szCs w:val="18"/>
              </w:rPr>
            </w:pPr>
            <w:r w:rsidRPr="00054095">
              <w:rPr>
                <w:rFonts w:cs="Arial"/>
                <w:szCs w:val="18"/>
              </w:rPr>
              <w:t>c) dispose d’un mode de stockage sécurisé adapté à la protection des moyens physiques et logiques entrant dans la constitution des signes de sécurité présents dans les titres papier qu’il fabrique.</w:t>
            </w:r>
          </w:p>
        </w:tc>
        <w:tc>
          <w:tcPr>
            <w:tcW w:w="1350" w:type="dxa"/>
            <w:gridSpan w:val="2"/>
            <w:vMerge/>
            <w:vAlign w:val="center"/>
            <w:hideMark/>
          </w:tcPr>
          <w:p w14:paraId="681188B3"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03B62B6C" w14:textId="77777777" w:rsidR="00545AF2" w:rsidRPr="00A5045C" w:rsidRDefault="00545AF2" w:rsidP="00545AF2">
            <w:pPr>
              <w:spacing w:before="0" w:beforeAutospacing="0" w:after="0" w:afterAutospacing="0"/>
              <w:rPr>
                <w:rFonts w:cs="Arial"/>
                <w:szCs w:val="18"/>
              </w:rPr>
            </w:pPr>
          </w:p>
        </w:tc>
      </w:tr>
      <w:tr w:rsidR="00545AF2" w:rsidRPr="001148E2" w14:paraId="76E400D2"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646" w:type="dxa"/>
            <w:gridSpan w:val="2"/>
            <w:vMerge/>
            <w:shd w:val="clear" w:color="000000" w:fill="FFFFFF"/>
            <w:noWrap/>
            <w:vAlign w:val="center"/>
            <w:hideMark/>
          </w:tcPr>
          <w:p w14:paraId="3D9F5645"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tcPr>
          <w:p w14:paraId="24BD611F" w14:textId="4F3F52E7" w:rsidR="00545AF2" w:rsidRPr="00A5045C" w:rsidRDefault="00545AF2" w:rsidP="00545AF2">
            <w:pPr>
              <w:spacing w:before="0" w:beforeAutospacing="0" w:after="0" w:afterAutospacing="0"/>
              <w:jc w:val="both"/>
              <w:rPr>
                <w:rFonts w:cs="Arial"/>
                <w:szCs w:val="18"/>
              </w:rPr>
            </w:pPr>
            <w:r w:rsidRPr="00054095">
              <w:rPr>
                <w:rFonts w:cs="Arial"/>
                <w:szCs w:val="18"/>
              </w:rPr>
              <w:t>d) dispose de traces des accès aux locaux dans lesquels sont entreposés les biens qui apparaissent les plus sensibles au regard de son analyse de risques, afin de pouvoir les utiliser en cas d’incident.</w:t>
            </w:r>
          </w:p>
        </w:tc>
        <w:tc>
          <w:tcPr>
            <w:tcW w:w="1350" w:type="dxa"/>
            <w:gridSpan w:val="2"/>
            <w:vMerge/>
            <w:vAlign w:val="center"/>
            <w:hideMark/>
          </w:tcPr>
          <w:p w14:paraId="1043A3C1"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0DEDCD27" w14:textId="77777777" w:rsidR="00545AF2" w:rsidRPr="00A5045C" w:rsidRDefault="00545AF2" w:rsidP="00545AF2">
            <w:pPr>
              <w:spacing w:before="0" w:beforeAutospacing="0" w:after="0" w:afterAutospacing="0"/>
              <w:rPr>
                <w:rFonts w:cs="Arial"/>
                <w:szCs w:val="18"/>
              </w:rPr>
            </w:pPr>
          </w:p>
        </w:tc>
      </w:tr>
      <w:tr w:rsidR="00545AF2" w:rsidRPr="001148E2" w14:paraId="723A3501"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6" w:type="dxa"/>
            <w:gridSpan w:val="2"/>
            <w:shd w:val="clear" w:color="000000" w:fill="DDEBF7"/>
            <w:noWrap/>
            <w:vAlign w:val="center"/>
            <w:hideMark/>
          </w:tcPr>
          <w:p w14:paraId="4EA72D62" w14:textId="69FCAA37" w:rsidR="00545AF2" w:rsidRPr="00A5045C" w:rsidRDefault="00545AF2" w:rsidP="00545AF2">
            <w:pPr>
              <w:spacing w:before="0" w:beforeAutospacing="0" w:after="0" w:afterAutospacing="0"/>
              <w:jc w:val="center"/>
              <w:rPr>
                <w:rFonts w:cs="Arial"/>
                <w:b/>
                <w:bCs/>
                <w:szCs w:val="18"/>
              </w:rPr>
            </w:pPr>
            <w:r w:rsidRPr="00A5045C">
              <w:rPr>
                <w:rFonts w:cs="Arial"/>
                <w:b/>
                <w:bCs/>
                <w:szCs w:val="18"/>
              </w:rPr>
              <w:t>6.</w:t>
            </w:r>
            <w:r>
              <w:rPr>
                <w:rFonts w:cs="Arial"/>
                <w:b/>
                <w:bCs/>
                <w:szCs w:val="18"/>
              </w:rPr>
              <w:t>6</w:t>
            </w:r>
            <w:r w:rsidRPr="00A5045C">
              <w:rPr>
                <w:rFonts w:cs="Arial"/>
                <w:b/>
                <w:bCs/>
                <w:szCs w:val="18"/>
              </w:rPr>
              <w:t xml:space="preserve"> </w:t>
            </w:r>
          </w:p>
        </w:tc>
        <w:tc>
          <w:tcPr>
            <w:tcW w:w="10211" w:type="dxa"/>
            <w:gridSpan w:val="2"/>
            <w:shd w:val="clear" w:color="000000" w:fill="DDEBF7"/>
            <w:noWrap/>
            <w:vAlign w:val="center"/>
          </w:tcPr>
          <w:p w14:paraId="7E84F625" w14:textId="487D0A12" w:rsidR="00545AF2" w:rsidRPr="00A5045C" w:rsidRDefault="00545AF2" w:rsidP="00545AF2">
            <w:pPr>
              <w:spacing w:before="0" w:beforeAutospacing="0" w:after="0" w:afterAutospacing="0"/>
              <w:jc w:val="both"/>
              <w:rPr>
                <w:rFonts w:cs="Arial"/>
                <w:b/>
                <w:bCs/>
                <w:szCs w:val="18"/>
              </w:rPr>
            </w:pPr>
            <w:r w:rsidRPr="00674A47">
              <w:rPr>
                <w:rFonts w:cs="Arial"/>
                <w:b/>
                <w:bCs/>
                <w:szCs w:val="18"/>
              </w:rPr>
              <w:t>L’acheminement des titres (originaux ou équivalents numérisés) lors de leur fabrication et leur mise à disposition ainsi que les transferts de flux d’informations liés à la commande ou au remboursement de titres bénéficient de mesures de protection appropriées destinées à en prévenir l’altération, le vol, ou la perte.</w:t>
            </w:r>
          </w:p>
        </w:tc>
        <w:tc>
          <w:tcPr>
            <w:tcW w:w="1350" w:type="dxa"/>
            <w:gridSpan w:val="2"/>
            <w:shd w:val="clear" w:color="000000" w:fill="DDEBF7"/>
            <w:vAlign w:val="center"/>
            <w:hideMark/>
          </w:tcPr>
          <w:p w14:paraId="4DE3D8B6"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38FD8DEB"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0CC6AAAE"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646" w:type="dxa"/>
            <w:gridSpan w:val="2"/>
            <w:vMerge w:val="restart"/>
            <w:shd w:val="clear" w:color="000000" w:fill="FFFFFF"/>
            <w:noWrap/>
            <w:vAlign w:val="center"/>
          </w:tcPr>
          <w:p w14:paraId="3E104FE4" w14:textId="77777777" w:rsidR="00112CE3" w:rsidRPr="00A5045C" w:rsidRDefault="00112CE3" w:rsidP="00112CE3">
            <w:pPr>
              <w:spacing w:before="0" w:after="0"/>
              <w:jc w:val="center"/>
              <w:rPr>
                <w:rFonts w:cs="Arial"/>
                <w:szCs w:val="18"/>
              </w:rPr>
            </w:pPr>
          </w:p>
        </w:tc>
        <w:tc>
          <w:tcPr>
            <w:tcW w:w="10211" w:type="dxa"/>
            <w:gridSpan w:val="2"/>
            <w:shd w:val="clear" w:color="000000" w:fill="FFFFFF"/>
            <w:noWrap/>
            <w:vAlign w:val="center"/>
          </w:tcPr>
          <w:p w14:paraId="12D5A04B" w14:textId="205CDDDF" w:rsidR="00112CE3" w:rsidRPr="00A5045C" w:rsidRDefault="00112CE3" w:rsidP="00112CE3">
            <w:pPr>
              <w:spacing w:before="0" w:beforeAutospacing="0" w:after="0" w:afterAutospacing="0"/>
              <w:jc w:val="both"/>
              <w:rPr>
                <w:rFonts w:cs="Arial"/>
                <w:szCs w:val="18"/>
              </w:rPr>
            </w:pPr>
            <w:r w:rsidRPr="00735052">
              <w:rPr>
                <w:rFonts w:cs="Arial"/>
                <w:szCs w:val="18"/>
              </w:rPr>
              <w:t>L’émetteur</w:t>
            </w:r>
            <w:r>
              <w:rPr>
                <w:rFonts w:cs="Arial"/>
                <w:szCs w:val="18"/>
              </w:rPr>
              <w:t> :</w:t>
            </w:r>
          </w:p>
        </w:tc>
        <w:tc>
          <w:tcPr>
            <w:tcW w:w="1350" w:type="dxa"/>
            <w:gridSpan w:val="2"/>
            <w:vMerge w:val="restart"/>
            <w:shd w:val="clear" w:color="000000" w:fill="FF0000"/>
            <w:vAlign w:val="center"/>
            <w:hideMark/>
          </w:tcPr>
          <w:p w14:paraId="28731525" w14:textId="57476215"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61FEF33F" w14:textId="34A644DD"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77A67E0B"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8"/>
        </w:trPr>
        <w:tc>
          <w:tcPr>
            <w:tcW w:w="646" w:type="dxa"/>
            <w:gridSpan w:val="2"/>
            <w:vMerge/>
            <w:shd w:val="clear" w:color="000000" w:fill="FFFFFF"/>
            <w:noWrap/>
            <w:vAlign w:val="center"/>
            <w:hideMark/>
          </w:tcPr>
          <w:p w14:paraId="3C8E932D"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44B10781" w14:textId="1E71A6DA" w:rsidR="00545AF2" w:rsidRPr="00A5045C" w:rsidRDefault="00545AF2" w:rsidP="00545AF2">
            <w:pPr>
              <w:spacing w:before="0" w:beforeAutospacing="0" w:after="0" w:afterAutospacing="0"/>
              <w:jc w:val="both"/>
              <w:rPr>
                <w:rFonts w:cs="Arial"/>
                <w:szCs w:val="18"/>
              </w:rPr>
            </w:pPr>
            <w:r>
              <w:rPr>
                <w:rFonts w:cs="Arial"/>
                <w:szCs w:val="18"/>
              </w:rPr>
              <w:t>a)</w:t>
            </w:r>
            <w:r w:rsidRPr="00674A47">
              <w:rPr>
                <w:rFonts w:cs="Arial"/>
                <w:szCs w:val="18"/>
              </w:rPr>
              <w:t xml:space="preserve"> a analysé ses risques de perte ou de vol des titres papier, dès les premiers stades de leur fabrication, ainsi que des supports d’équivalents transportés. Cette analyse couvre l’ensemble des acheminements, notamment ceux qui sont liés aux déplacements au cours des différents stades de fabrication, à la mise à disposition, la collecte, le traitement, l’archivage et la destruction ou le transport dans le cadre des échanges physiques.</w:t>
            </w:r>
          </w:p>
        </w:tc>
        <w:tc>
          <w:tcPr>
            <w:tcW w:w="1350" w:type="dxa"/>
            <w:gridSpan w:val="2"/>
            <w:vMerge/>
            <w:vAlign w:val="center"/>
            <w:hideMark/>
          </w:tcPr>
          <w:p w14:paraId="5679B7C1"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168B436E" w14:textId="77777777" w:rsidR="00545AF2" w:rsidRPr="00A5045C" w:rsidRDefault="00545AF2" w:rsidP="00545AF2">
            <w:pPr>
              <w:spacing w:before="0" w:beforeAutospacing="0" w:after="0" w:afterAutospacing="0"/>
              <w:rPr>
                <w:rFonts w:cs="Arial"/>
                <w:szCs w:val="18"/>
              </w:rPr>
            </w:pPr>
          </w:p>
        </w:tc>
      </w:tr>
      <w:tr w:rsidR="00545AF2" w:rsidRPr="001148E2" w14:paraId="1741C552"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0"/>
        </w:trPr>
        <w:tc>
          <w:tcPr>
            <w:tcW w:w="646" w:type="dxa"/>
            <w:gridSpan w:val="2"/>
            <w:vMerge/>
            <w:shd w:val="clear" w:color="000000" w:fill="FFFFFF"/>
            <w:noWrap/>
            <w:vAlign w:val="center"/>
            <w:hideMark/>
          </w:tcPr>
          <w:p w14:paraId="493E56D8"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77967734" w14:textId="147109D1" w:rsidR="00545AF2" w:rsidRPr="00A5045C" w:rsidRDefault="00545AF2" w:rsidP="00545AF2">
            <w:pPr>
              <w:spacing w:before="0" w:beforeAutospacing="0" w:after="0" w:afterAutospacing="0"/>
              <w:jc w:val="both"/>
              <w:rPr>
                <w:rFonts w:cs="Arial"/>
                <w:szCs w:val="18"/>
              </w:rPr>
            </w:pPr>
            <w:r w:rsidRPr="00674A47">
              <w:rPr>
                <w:rFonts w:cs="Arial"/>
                <w:szCs w:val="18"/>
              </w:rPr>
              <w:t>b) dispose de procédures d’acheminement appropriées qui permettent de répondre aux besoins de sécurité identifiés par l’analyse. Ces procédures mettent notamment en œuvre des moyens de protection, de détection d’incident et d’alerte qui répondent à la sensibilité des biens acheminés et des risques potentiels pour l’émetteur et les autres acteurs du système de paiement par titres papier si ces biens venaient à être volés ou perdus.</w:t>
            </w:r>
          </w:p>
        </w:tc>
        <w:tc>
          <w:tcPr>
            <w:tcW w:w="1350" w:type="dxa"/>
            <w:gridSpan w:val="2"/>
            <w:vMerge/>
            <w:vAlign w:val="center"/>
            <w:hideMark/>
          </w:tcPr>
          <w:p w14:paraId="626804D1"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4B8DBABD" w14:textId="77777777" w:rsidR="00545AF2" w:rsidRPr="00A5045C" w:rsidRDefault="00545AF2" w:rsidP="00545AF2">
            <w:pPr>
              <w:spacing w:before="0" w:beforeAutospacing="0" w:after="0" w:afterAutospacing="0"/>
              <w:rPr>
                <w:rFonts w:cs="Arial"/>
                <w:szCs w:val="18"/>
              </w:rPr>
            </w:pPr>
          </w:p>
        </w:tc>
      </w:tr>
      <w:tr w:rsidR="00545AF2" w:rsidRPr="001148E2" w14:paraId="647BF9DC"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646" w:type="dxa"/>
            <w:gridSpan w:val="2"/>
            <w:vMerge/>
            <w:shd w:val="clear" w:color="000000" w:fill="FFFFFF"/>
            <w:noWrap/>
            <w:vAlign w:val="center"/>
            <w:hideMark/>
          </w:tcPr>
          <w:p w14:paraId="513B9A67"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769F436C" w14:textId="7128A7DE" w:rsidR="00545AF2" w:rsidRPr="00A5045C" w:rsidRDefault="00545AF2" w:rsidP="00545AF2">
            <w:pPr>
              <w:spacing w:before="0" w:beforeAutospacing="0" w:after="0" w:afterAutospacing="0"/>
              <w:jc w:val="both"/>
              <w:rPr>
                <w:rFonts w:cs="Arial"/>
                <w:szCs w:val="18"/>
              </w:rPr>
            </w:pPr>
            <w:r>
              <w:rPr>
                <w:rFonts w:cs="Arial"/>
                <w:szCs w:val="18"/>
              </w:rPr>
              <w:t>c)</w:t>
            </w:r>
            <w:r w:rsidRPr="00674A47">
              <w:rPr>
                <w:rFonts w:cs="Arial"/>
                <w:szCs w:val="18"/>
              </w:rPr>
              <w:t xml:space="preserve"> effectue un suivi régulier de l’adéquation et de la bonne application de ses procédures.</w:t>
            </w:r>
          </w:p>
        </w:tc>
        <w:tc>
          <w:tcPr>
            <w:tcW w:w="1350" w:type="dxa"/>
            <w:gridSpan w:val="2"/>
            <w:vMerge/>
            <w:vAlign w:val="center"/>
            <w:hideMark/>
          </w:tcPr>
          <w:p w14:paraId="56EA768D"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7BD2E3D9" w14:textId="77777777" w:rsidR="00545AF2" w:rsidRPr="00A5045C" w:rsidRDefault="00545AF2" w:rsidP="00545AF2">
            <w:pPr>
              <w:spacing w:before="0" w:beforeAutospacing="0" w:after="0" w:afterAutospacing="0"/>
              <w:rPr>
                <w:rFonts w:cs="Arial"/>
                <w:szCs w:val="18"/>
              </w:rPr>
            </w:pPr>
          </w:p>
        </w:tc>
      </w:tr>
      <w:tr w:rsidR="00545AF2" w:rsidRPr="001148E2" w14:paraId="65777815"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646" w:type="dxa"/>
            <w:gridSpan w:val="2"/>
            <w:vMerge/>
            <w:shd w:val="clear" w:color="000000" w:fill="FFFFFF"/>
            <w:noWrap/>
            <w:vAlign w:val="center"/>
            <w:hideMark/>
          </w:tcPr>
          <w:p w14:paraId="032D5AD9"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tcPr>
          <w:p w14:paraId="7E02D5D9" w14:textId="75E67D91" w:rsidR="00545AF2" w:rsidRPr="00A5045C" w:rsidRDefault="00545AF2" w:rsidP="00545AF2">
            <w:pPr>
              <w:spacing w:before="0" w:beforeAutospacing="0" w:after="0" w:afterAutospacing="0"/>
              <w:jc w:val="both"/>
              <w:rPr>
                <w:rFonts w:cs="Arial"/>
                <w:szCs w:val="18"/>
              </w:rPr>
            </w:pPr>
            <w:r w:rsidRPr="00674A47">
              <w:rPr>
                <w:rFonts w:cs="Arial"/>
                <w:szCs w:val="18"/>
              </w:rPr>
              <w:t>d) intervient dans les meilleurs délais lorsqu’il constate un défaut d’application des procédures établies ou lorsque celles-ci se révèlent insuffisantes ou inadéquates pour assurer le niveau de protection souhaité contre le vol ou la perte.</w:t>
            </w:r>
          </w:p>
        </w:tc>
        <w:tc>
          <w:tcPr>
            <w:tcW w:w="1350" w:type="dxa"/>
            <w:gridSpan w:val="2"/>
            <w:vMerge/>
            <w:vAlign w:val="center"/>
            <w:hideMark/>
          </w:tcPr>
          <w:p w14:paraId="4DD2EDAE"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2FF502C1" w14:textId="77777777" w:rsidR="00545AF2" w:rsidRPr="00A5045C" w:rsidRDefault="00545AF2" w:rsidP="00545AF2">
            <w:pPr>
              <w:spacing w:before="0" w:beforeAutospacing="0" w:after="0" w:afterAutospacing="0"/>
              <w:rPr>
                <w:rFonts w:cs="Arial"/>
                <w:szCs w:val="18"/>
              </w:rPr>
            </w:pPr>
          </w:p>
        </w:tc>
      </w:tr>
      <w:tr w:rsidR="00545AF2" w:rsidRPr="00A826E0" w14:paraId="7A1F5A5C"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46" w:type="dxa"/>
            <w:gridSpan w:val="2"/>
            <w:shd w:val="clear" w:color="auto" w:fill="B8CCE4" w:themeFill="accent1" w:themeFillTint="66"/>
            <w:noWrap/>
            <w:vAlign w:val="center"/>
            <w:hideMark/>
          </w:tcPr>
          <w:p w14:paraId="214324E3" w14:textId="3563128D" w:rsidR="00545AF2" w:rsidRPr="00A826E0" w:rsidRDefault="00545AF2" w:rsidP="00545AF2">
            <w:pPr>
              <w:spacing w:before="0" w:beforeAutospacing="0" w:after="0" w:afterAutospacing="0"/>
              <w:jc w:val="both"/>
              <w:rPr>
                <w:rFonts w:cs="Arial"/>
                <w:b/>
                <w:sz w:val="20"/>
                <w:szCs w:val="18"/>
              </w:rPr>
            </w:pPr>
            <w:r>
              <w:rPr>
                <w:rFonts w:cs="Arial"/>
                <w:b/>
                <w:sz w:val="20"/>
                <w:szCs w:val="18"/>
              </w:rPr>
              <w:t>7</w:t>
            </w:r>
            <w:r w:rsidRPr="00A826E0">
              <w:rPr>
                <w:rFonts w:cs="Arial"/>
                <w:b/>
                <w:sz w:val="20"/>
                <w:szCs w:val="18"/>
              </w:rPr>
              <w:t>.</w:t>
            </w:r>
          </w:p>
        </w:tc>
        <w:tc>
          <w:tcPr>
            <w:tcW w:w="14106" w:type="dxa"/>
            <w:gridSpan w:val="6"/>
            <w:shd w:val="clear" w:color="auto" w:fill="B8CCE4" w:themeFill="accent1" w:themeFillTint="66"/>
            <w:noWrap/>
            <w:vAlign w:val="center"/>
            <w:hideMark/>
          </w:tcPr>
          <w:p w14:paraId="27EAE9FD" w14:textId="77777777" w:rsidR="00545AF2" w:rsidRPr="00A826E0" w:rsidRDefault="00545AF2" w:rsidP="00545AF2">
            <w:pPr>
              <w:spacing w:before="0" w:beforeAutospacing="0" w:after="0" w:afterAutospacing="0"/>
              <w:rPr>
                <w:rFonts w:cs="Arial"/>
                <w:b/>
                <w:sz w:val="20"/>
                <w:szCs w:val="18"/>
              </w:rPr>
            </w:pPr>
            <w:r w:rsidRPr="00A826E0">
              <w:rPr>
                <w:rFonts w:cs="Arial"/>
                <w:b/>
                <w:sz w:val="20"/>
                <w:szCs w:val="18"/>
              </w:rPr>
              <w:t>Enrôlement des utilisateurs et sécurité des opérations sensibles</w:t>
            </w:r>
          </w:p>
        </w:tc>
      </w:tr>
      <w:tr w:rsidR="00545AF2" w:rsidRPr="001148E2" w14:paraId="29C36120"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6" w:type="dxa"/>
            <w:gridSpan w:val="2"/>
            <w:shd w:val="clear" w:color="000000" w:fill="DDEBF7"/>
            <w:noWrap/>
            <w:vAlign w:val="center"/>
            <w:hideMark/>
          </w:tcPr>
          <w:p w14:paraId="1FDA7841" w14:textId="34CB8E94" w:rsidR="00545AF2" w:rsidRPr="00A5045C" w:rsidRDefault="00545AF2" w:rsidP="00545AF2">
            <w:pPr>
              <w:spacing w:before="0" w:beforeAutospacing="0" w:after="0" w:afterAutospacing="0"/>
              <w:jc w:val="center"/>
              <w:rPr>
                <w:rFonts w:cs="Arial"/>
                <w:b/>
                <w:bCs/>
                <w:szCs w:val="18"/>
              </w:rPr>
            </w:pPr>
            <w:r>
              <w:rPr>
                <w:rFonts w:cs="Arial"/>
                <w:b/>
                <w:bCs/>
                <w:szCs w:val="18"/>
              </w:rPr>
              <w:t>7</w:t>
            </w:r>
            <w:r w:rsidRPr="00A5045C">
              <w:rPr>
                <w:rFonts w:cs="Arial"/>
                <w:b/>
                <w:bCs/>
                <w:szCs w:val="18"/>
              </w:rPr>
              <w:t xml:space="preserve">.1 </w:t>
            </w:r>
          </w:p>
        </w:tc>
        <w:tc>
          <w:tcPr>
            <w:tcW w:w="10211" w:type="dxa"/>
            <w:gridSpan w:val="2"/>
            <w:shd w:val="clear" w:color="000000" w:fill="DDEBF7"/>
            <w:noWrap/>
            <w:vAlign w:val="center"/>
            <w:hideMark/>
          </w:tcPr>
          <w:p w14:paraId="1B4420C5"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Toute opération considérée comme sensible (en particulier les opérations d’enrôlement de l’utilisateur, de commande, de délivrance et d’opération de paiement) doit être protégée par un mécanisme d’authentification renforcée.</w:t>
            </w:r>
          </w:p>
        </w:tc>
        <w:tc>
          <w:tcPr>
            <w:tcW w:w="1350" w:type="dxa"/>
            <w:gridSpan w:val="2"/>
            <w:shd w:val="clear" w:color="000000" w:fill="DDEBF7"/>
            <w:vAlign w:val="center"/>
            <w:hideMark/>
          </w:tcPr>
          <w:p w14:paraId="1FA9E02A"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53096062"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002D6BE1"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646" w:type="dxa"/>
            <w:gridSpan w:val="2"/>
            <w:vMerge w:val="restart"/>
            <w:shd w:val="clear" w:color="000000" w:fill="FFFFFF"/>
            <w:noWrap/>
            <w:vAlign w:val="center"/>
          </w:tcPr>
          <w:p w14:paraId="4771D414" w14:textId="77777777" w:rsidR="00112CE3" w:rsidRPr="00A5045C" w:rsidRDefault="00112CE3" w:rsidP="00112CE3">
            <w:pPr>
              <w:spacing w:before="0" w:after="0"/>
              <w:jc w:val="center"/>
              <w:rPr>
                <w:rFonts w:cs="Arial"/>
                <w:szCs w:val="18"/>
              </w:rPr>
            </w:pPr>
          </w:p>
        </w:tc>
        <w:tc>
          <w:tcPr>
            <w:tcW w:w="10211" w:type="dxa"/>
            <w:gridSpan w:val="2"/>
            <w:shd w:val="clear" w:color="000000" w:fill="FFFFFF"/>
            <w:noWrap/>
            <w:vAlign w:val="center"/>
            <w:hideMark/>
          </w:tcPr>
          <w:p w14:paraId="74E1D9BB" w14:textId="00299810" w:rsidR="00112CE3" w:rsidRPr="00A5045C" w:rsidRDefault="00112CE3" w:rsidP="00112CE3">
            <w:pPr>
              <w:spacing w:before="0" w:beforeAutospacing="0" w:after="0" w:afterAutospacing="0"/>
              <w:jc w:val="both"/>
              <w:rPr>
                <w:rFonts w:cs="Arial"/>
                <w:szCs w:val="18"/>
              </w:rPr>
            </w:pPr>
            <w:r>
              <w:rPr>
                <w:rFonts w:cs="Arial"/>
                <w:szCs w:val="18"/>
              </w:rPr>
              <w:t xml:space="preserve">a) </w:t>
            </w:r>
            <w:r w:rsidRPr="00A5045C">
              <w:rPr>
                <w:rFonts w:cs="Arial"/>
                <w:szCs w:val="18"/>
              </w:rPr>
              <w:t xml:space="preserve">Dans le cadre des opérations sensibles, l’émetteur de </w:t>
            </w:r>
            <w:r>
              <w:rPr>
                <w:rFonts w:cs="Arial"/>
                <w:szCs w:val="18"/>
              </w:rPr>
              <w:t>TSPD/IPS</w:t>
            </w:r>
            <w:r w:rsidRPr="00A5045C">
              <w:rPr>
                <w:rFonts w:cs="Arial"/>
                <w:szCs w:val="18"/>
              </w:rPr>
              <w:t xml:space="preserve"> doit toujours s’assurer de l’identité de la personne qui effectue l’opération en utilisant un mécanisme d’authentification renforcée. Lors de l’enrôlement, pour valider les données utilisées, l’émetteur doit compléter la déclaration d’identité initiale par un mécanisme d’authentification renforcée. Il doit être indiqué au contrat qu’en cas d’échec de l’authentification renforcée, l’émetteur refuse l’exécution de l’opération.</w:t>
            </w:r>
          </w:p>
        </w:tc>
        <w:tc>
          <w:tcPr>
            <w:tcW w:w="1350" w:type="dxa"/>
            <w:gridSpan w:val="2"/>
            <w:vMerge w:val="restart"/>
            <w:shd w:val="clear" w:color="000000" w:fill="FF0000"/>
            <w:vAlign w:val="center"/>
            <w:hideMark/>
          </w:tcPr>
          <w:p w14:paraId="176ACC4E" w14:textId="2DBDA4C7"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772C7911" w14:textId="2AF2EB29"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0D9860AB"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69903D06"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5D82086A" w14:textId="56BB5E8D" w:rsidR="00545AF2" w:rsidRPr="00A5045C" w:rsidRDefault="00545AF2" w:rsidP="00545AF2">
            <w:pPr>
              <w:spacing w:before="0" w:beforeAutospacing="0" w:after="0" w:afterAutospacing="0"/>
              <w:jc w:val="both"/>
              <w:rPr>
                <w:rFonts w:cs="Arial"/>
                <w:szCs w:val="18"/>
              </w:rPr>
            </w:pPr>
            <w:r>
              <w:rPr>
                <w:rFonts w:cs="Arial"/>
                <w:szCs w:val="18"/>
              </w:rPr>
              <w:t>b)</w:t>
            </w:r>
            <w:r w:rsidRPr="00A5045C">
              <w:rPr>
                <w:rFonts w:cs="Arial"/>
                <w:szCs w:val="18"/>
              </w:rPr>
              <w:t xml:space="preserve"> L’émetteur de </w:t>
            </w:r>
            <w:r>
              <w:rPr>
                <w:rFonts w:cs="Arial"/>
                <w:szCs w:val="18"/>
              </w:rPr>
              <w:t>TSPD/IPS</w:t>
            </w:r>
            <w:r w:rsidRPr="00A5045C">
              <w:rPr>
                <w:rFonts w:cs="Arial"/>
                <w:szCs w:val="18"/>
              </w:rPr>
              <w:t xml:space="preserve"> doit s’assurer que les commerçants qui acceptent le paiement en </w:t>
            </w:r>
            <w:r>
              <w:rPr>
                <w:rFonts w:cs="Arial"/>
                <w:szCs w:val="18"/>
              </w:rPr>
              <w:t>TSPD/IPS</w:t>
            </w:r>
            <w:r w:rsidRPr="00A5045C">
              <w:rPr>
                <w:rFonts w:cs="Arial"/>
                <w:szCs w:val="18"/>
              </w:rPr>
              <w:t xml:space="preserve"> permettent de mettre en œuvre une authentification renforcée de leurs clients pour les opérations sensibles.</w:t>
            </w:r>
          </w:p>
        </w:tc>
        <w:tc>
          <w:tcPr>
            <w:tcW w:w="1350" w:type="dxa"/>
            <w:gridSpan w:val="2"/>
            <w:vMerge/>
            <w:vAlign w:val="center"/>
            <w:hideMark/>
          </w:tcPr>
          <w:p w14:paraId="6089AEAF"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1CFF6A29" w14:textId="77777777" w:rsidR="00545AF2" w:rsidRPr="00A5045C" w:rsidRDefault="00545AF2" w:rsidP="00545AF2">
            <w:pPr>
              <w:spacing w:before="0" w:beforeAutospacing="0" w:after="0" w:afterAutospacing="0"/>
              <w:rPr>
                <w:rFonts w:cs="Arial"/>
                <w:szCs w:val="18"/>
              </w:rPr>
            </w:pPr>
          </w:p>
        </w:tc>
      </w:tr>
      <w:tr w:rsidR="00545AF2" w:rsidRPr="001148E2" w14:paraId="22E55719"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29C13552"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74276347" w14:textId="6D271EAA" w:rsidR="00545AF2" w:rsidRPr="00A5045C" w:rsidRDefault="00545AF2" w:rsidP="00545AF2">
            <w:pPr>
              <w:spacing w:before="0" w:beforeAutospacing="0" w:after="0" w:afterAutospacing="0"/>
              <w:jc w:val="both"/>
              <w:rPr>
                <w:rFonts w:cs="Arial"/>
                <w:szCs w:val="18"/>
              </w:rPr>
            </w:pPr>
            <w:r>
              <w:rPr>
                <w:rFonts w:cs="Arial"/>
                <w:szCs w:val="18"/>
              </w:rPr>
              <w:t>c)</w:t>
            </w:r>
            <w:r w:rsidRPr="00A5045C">
              <w:rPr>
                <w:rFonts w:cs="Arial"/>
                <w:szCs w:val="18"/>
              </w:rPr>
              <w:t xml:space="preserve"> L’émetteur de </w:t>
            </w:r>
            <w:r>
              <w:rPr>
                <w:rFonts w:cs="Arial"/>
                <w:szCs w:val="18"/>
              </w:rPr>
              <w:t>TSPD/IPS</w:t>
            </w:r>
            <w:r w:rsidRPr="00A5045C">
              <w:rPr>
                <w:rFonts w:cs="Arial"/>
                <w:szCs w:val="18"/>
              </w:rPr>
              <w:t xml:space="preserve"> doit régulièrement réévaluer la pertinence de sa solution d’authentification renforcée au regard des menaces potentielles ainsi que des attaques de fraude constatées. </w:t>
            </w:r>
          </w:p>
        </w:tc>
        <w:tc>
          <w:tcPr>
            <w:tcW w:w="1350" w:type="dxa"/>
            <w:gridSpan w:val="2"/>
            <w:vMerge/>
            <w:vAlign w:val="center"/>
            <w:hideMark/>
          </w:tcPr>
          <w:p w14:paraId="2618887D"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1638FA41" w14:textId="77777777" w:rsidR="00545AF2" w:rsidRPr="00A5045C" w:rsidRDefault="00545AF2" w:rsidP="00545AF2">
            <w:pPr>
              <w:spacing w:before="0" w:beforeAutospacing="0" w:after="0" w:afterAutospacing="0"/>
              <w:rPr>
                <w:rFonts w:cs="Arial"/>
                <w:szCs w:val="18"/>
              </w:rPr>
            </w:pPr>
          </w:p>
        </w:tc>
      </w:tr>
      <w:tr w:rsidR="00545AF2" w:rsidRPr="001148E2" w14:paraId="7C29D464"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2"/>
        </w:trPr>
        <w:tc>
          <w:tcPr>
            <w:tcW w:w="646" w:type="dxa"/>
            <w:gridSpan w:val="2"/>
            <w:vMerge/>
            <w:shd w:val="clear" w:color="000000" w:fill="FFFFFF"/>
            <w:noWrap/>
            <w:vAlign w:val="center"/>
            <w:hideMark/>
          </w:tcPr>
          <w:p w14:paraId="534B187F"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02F7A5BE" w14:textId="10D04703" w:rsidR="00545AF2" w:rsidRPr="00A5045C" w:rsidRDefault="00545AF2" w:rsidP="00545AF2">
            <w:pPr>
              <w:spacing w:before="0" w:beforeAutospacing="0" w:after="0" w:afterAutospacing="0"/>
              <w:jc w:val="both"/>
              <w:rPr>
                <w:rFonts w:cs="Arial"/>
                <w:szCs w:val="18"/>
              </w:rPr>
            </w:pPr>
            <w:r>
              <w:rPr>
                <w:rFonts w:cs="Arial"/>
                <w:szCs w:val="18"/>
              </w:rPr>
              <w:t>d)</w:t>
            </w:r>
            <w:r w:rsidRPr="00A5045C">
              <w:rPr>
                <w:rFonts w:cs="Arial"/>
                <w:szCs w:val="18"/>
              </w:rPr>
              <w:t xml:space="preserve"> Dans le cas où l’émetteur n’impose pas d’authentification renforcée sur les opérations de paiement, celui-ci devra justifier son choix par une analyse des risques documentée. Cette analyse devra par exemple expliciter les mesures compensatoires mises en place par l’émetteur lui permettant de ne pas avoir recours à une authentification renforcée sur les opérations sensibles.</w:t>
            </w:r>
          </w:p>
        </w:tc>
        <w:tc>
          <w:tcPr>
            <w:tcW w:w="1350" w:type="dxa"/>
            <w:gridSpan w:val="2"/>
            <w:vMerge/>
            <w:vAlign w:val="center"/>
            <w:hideMark/>
          </w:tcPr>
          <w:p w14:paraId="719E292F"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5B9EF4FF" w14:textId="77777777" w:rsidR="00545AF2" w:rsidRPr="00A5045C" w:rsidRDefault="00545AF2" w:rsidP="00545AF2">
            <w:pPr>
              <w:spacing w:before="0" w:beforeAutospacing="0" w:after="0" w:afterAutospacing="0"/>
              <w:rPr>
                <w:rFonts w:cs="Arial"/>
                <w:szCs w:val="18"/>
              </w:rPr>
            </w:pPr>
          </w:p>
        </w:tc>
      </w:tr>
      <w:tr w:rsidR="00545AF2" w:rsidRPr="001148E2" w14:paraId="7DDF61FB"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646" w:type="dxa"/>
            <w:gridSpan w:val="2"/>
            <w:vMerge/>
            <w:shd w:val="clear" w:color="000000" w:fill="FFFFFF"/>
            <w:noWrap/>
            <w:vAlign w:val="center"/>
            <w:hideMark/>
          </w:tcPr>
          <w:p w14:paraId="6BC606E6"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hideMark/>
          </w:tcPr>
          <w:p w14:paraId="27038816" w14:textId="2140FD42" w:rsidR="00545AF2" w:rsidRPr="00A5045C" w:rsidRDefault="00545AF2" w:rsidP="00545AF2">
            <w:pPr>
              <w:spacing w:before="0" w:beforeAutospacing="0" w:after="0" w:afterAutospacing="0"/>
              <w:jc w:val="both"/>
              <w:rPr>
                <w:rFonts w:cs="Arial"/>
                <w:szCs w:val="18"/>
              </w:rPr>
            </w:pPr>
            <w:r>
              <w:rPr>
                <w:rFonts w:cs="Arial"/>
                <w:szCs w:val="18"/>
              </w:rPr>
              <w:t>e)</w:t>
            </w:r>
            <w:r w:rsidRPr="00A5045C">
              <w:rPr>
                <w:rFonts w:cs="Arial"/>
                <w:szCs w:val="18"/>
              </w:rPr>
              <w:t xml:space="preserve"> Lorsqu’une opération de paiement n’est pas sécurisée par une authentification renforcée, l’émetteur de </w:t>
            </w:r>
            <w:r>
              <w:rPr>
                <w:rFonts w:cs="Arial"/>
                <w:szCs w:val="18"/>
              </w:rPr>
              <w:t>TSPD/IPS</w:t>
            </w:r>
            <w:r w:rsidRPr="00A5045C">
              <w:rPr>
                <w:rFonts w:cs="Arial"/>
                <w:szCs w:val="18"/>
              </w:rPr>
              <w:t xml:space="preserve"> doit veiller à maintenir un taux de fraude à minima équivalent à celui observé pour les paiements à authentification renforcée.  </w:t>
            </w:r>
          </w:p>
        </w:tc>
        <w:tc>
          <w:tcPr>
            <w:tcW w:w="1350" w:type="dxa"/>
            <w:gridSpan w:val="2"/>
            <w:vMerge/>
            <w:vAlign w:val="center"/>
            <w:hideMark/>
          </w:tcPr>
          <w:p w14:paraId="4D888870"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09E6FF5E" w14:textId="77777777" w:rsidR="00545AF2" w:rsidRPr="00A5045C" w:rsidRDefault="00545AF2" w:rsidP="00545AF2">
            <w:pPr>
              <w:spacing w:before="0" w:beforeAutospacing="0" w:after="0" w:afterAutospacing="0"/>
              <w:rPr>
                <w:rFonts w:cs="Arial"/>
                <w:szCs w:val="18"/>
              </w:rPr>
            </w:pPr>
          </w:p>
        </w:tc>
      </w:tr>
      <w:tr w:rsidR="00545AF2" w:rsidRPr="001148E2" w14:paraId="3346524F"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646" w:type="dxa"/>
            <w:gridSpan w:val="2"/>
            <w:shd w:val="clear" w:color="000000" w:fill="DDEBF7"/>
            <w:noWrap/>
            <w:vAlign w:val="center"/>
            <w:hideMark/>
          </w:tcPr>
          <w:p w14:paraId="7DBEDA28" w14:textId="5540852C" w:rsidR="00545AF2" w:rsidRPr="00A5045C" w:rsidRDefault="00545AF2" w:rsidP="00545AF2">
            <w:pPr>
              <w:spacing w:before="0" w:beforeAutospacing="0" w:after="0" w:afterAutospacing="0"/>
              <w:jc w:val="center"/>
              <w:rPr>
                <w:rFonts w:cs="Arial"/>
                <w:b/>
                <w:bCs/>
                <w:szCs w:val="18"/>
              </w:rPr>
            </w:pPr>
            <w:r>
              <w:rPr>
                <w:rFonts w:cs="Arial"/>
                <w:b/>
                <w:bCs/>
                <w:szCs w:val="18"/>
              </w:rPr>
              <w:t>7</w:t>
            </w:r>
            <w:r w:rsidRPr="00A5045C">
              <w:rPr>
                <w:rFonts w:cs="Arial"/>
                <w:b/>
                <w:bCs/>
                <w:szCs w:val="18"/>
              </w:rPr>
              <w:t xml:space="preserve">.2 </w:t>
            </w:r>
          </w:p>
        </w:tc>
        <w:tc>
          <w:tcPr>
            <w:tcW w:w="10211" w:type="dxa"/>
            <w:gridSpan w:val="2"/>
            <w:shd w:val="clear" w:color="000000" w:fill="DDEBF7"/>
            <w:noWrap/>
            <w:vAlign w:val="center"/>
            <w:hideMark/>
          </w:tcPr>
          <w:p w14:paraId="1DC43A07"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L’émetteur sécurise les environnements de commande de titres mis à la disposition des financeurs et sécurise le processus de délivrance des titres à ces derniers ou aux utilisateurs. En cas de compromission de l’environnement de commande du financeur, l’émetteur dispose d’une procédure de blocage des accès.</w:t>
            </w:r>
          </w:p>
        </w:tc>
        <w:tc>
          <w:tcPr>
            <w:tcW w:w="1350" w:type="dxa"/>
            <w:gridSpan w:val="2"/>
            <w:shd w:val="clear" w:color="000000" w:fill="DDEBF7"/>
            <w:vAlign w:val="center"/>
            <w:hideMark/>
          </w:tcPr>
          <w:p w14:paraId="0BF2DE03"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7F3BC6CB"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039ABDD5"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2"/>
        </w:trPr>
        <w:tc>
          <w:tcPr>
            <w:tcW w:w="646" w:type="dxa"/>
            <w:gridSpan w:val="2"/>
            <w:vMerge w:val="restart"/>
            <w:shd w:val="clear" w:color="000000" w:fill="FFFFFF"/>
            <w:noWrap/>
            <w:vAlign w:val="center"/>
          </w:tcPr>
          <w:p w14:paraId="2BD05E38" w14:textId="77777777" w:rsidR="00112CE3" w:rsidRPr="00A5045C" w:rsidRDefault="00112CE3" w:rsidP="00112CE3">
            <w:pPr>
              <w:jc w:val="center"/>
              <w:rPr>
                <w:rFonts w:cs="Arial"/>
                <w:szCs w:val="18"/>
              </w:rPr>
            </w:pPr>
          </w:p>
        </w:tc>
        <w:tc>
          <w:tcPr>
            <w:tcW w:w="10211" w:type="dxa"/>
            <w:gridSpan w:val="2"/>
            <w:shd w:val="clear" w:color="000000" w:fill="FFFFFF"/>
            <w:noWrap/>
            <w:vAlign w:val="center"/>
            <w:hideMark/>
          </w:tcPr>
          <w:p w14:paraId="73BB42B0" w14:textId="2741CBAB" w:rsidR="00112CE3" w:rsidRPr="00A5045C" w:rsidRDefault="00112CE3" w:rsidP="00112CE3">
            <w:pPr>
              <w:spacing w:before="0" w:beforeAutospacing="0" w:after="0" w:afterAutospacing="0"/>
              <w:jc w:val="both"/>
              <w:rPr>
                <w:rFonts w:cs="Arial"/>
                <w:szCs w:val="18"/>
              </w:rPr>
            </w:pPr>
            <w:r>
              <w:rPr>
                <w:rFonts w:cs="Arial"/>
                <w:szCs w:val="18"/>
              </w:rPr>
              <w:t>a)</w:t>
            </w:r>
            <w:r w:rsidRPr="00A5045C">
              <w:rPr>
                <w:rFonts w:cs="Arial"/>
                <w:szCs w:val="18"/>
              </w:rPr>
              <w:t xml:space="preserve"> Le processus de commande de </w:t>
            </w:r>
            <w:r>
              <w:rPr>
                <w:rFonts w:cs="Arial"/>
                <w:szCs w:val="18"/>
              </w:rPr>
              <w:t>TSPD/IPS</w:t>
            </w:r>
            <w:r w:rsidRPr="00A5045C">
              <w:rPr>
                <w:rFonts w:cs="Arial"/>
                <w:szCs w:val="18"/>
              </w:rPr>
              <w:t xml:space="preserve"> doit être sécurisé par une authentification renforcée permettant de s’assurer que la personne est bien habilitée par le financeur pour effectuer cette opération. En cas de compromission, l’émetteur de </w:t>
            </w:r>
            <w:r>
              <w:rPr>
                <w:rFonts w:cs="Arial"/>
                <w:szCs w:val="18"/>
              </w:rPr>
              <w:t>TSPD/IPS</w:t>
            </w:r>
            <w:r w:rsidRPr="00A5045C">
              <w:rPr>
                <w:rFonts w:cs="Arial"/>
                <w:szCs w:val="18"/>
              </w:rPr>
              <w:t xml:space="preserve"> doit être en mesure de bloquer le ou les compte(s) habilité(s) à passer des commandes de </w:t>
            </w:r>
            <w:r>
              <w:rPr>
                <w:rFonts w:cs="Arial"/>
                <w:szCs w:val="18"/>
              </w:rPr>
              <w:t>TSPD/IPS</w:t>
            </w:r>
            <w:r w:rsidRPr="00A5045C">
              <w:rPr>
                <w:rFonts w:cs="Arial"/>
                <w:szCs w:val="18"/>
              </w:rPr>
              <w:t>.</w:t>
            </w:r>
          </w:p>
        </w:tc>
        <w:tc>
          <w:tcPr>
            <w:tcW w:w="1350" w:type="dxa"/>
            <w:gridSpan w:val="2"/>
            <w:vMerge w:val="restart"/>
            <w:shd w:val="clear" w:color="000000" w:fill="FF0000"/>
            <w:vAlign w:val="center"/>
            <w:hideMark/>
          </w:tcPr>
          <w:p w14:paraId="71FA4A8D" w14:textId="47DDE77B"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2A0B03BA" w14:textId="5DDC038C"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1209316B"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2"/>
        </w:trPr>
        <w:tc>
          <w:tcPr>
            <w:tcW w:w="646" w:type="dxa"/>
            <w:gridSpan w:val="2"/>
            <w:vMerge/>
            <w:shd w:val="clear" w:color="000000" w:fill="FFFFFF"/>
            <w:noWrap/>
            <w:vAlign w:val="center"/>
            <w:hideMark/>
          </w:tcPr>
          <w:p w14:paraId="62713DE3"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hideMark/>
          </w:tcPr>
          <w:p w14:paraId="2D601F6F" w14:textId="222F1B11" w:rsidR="00545AF2" w:rsidRPr="00A5045C" w:rsidRDefault="00545AF2" w:rsidP="00545AF2">
            <w:pPr>
              <w:spacing w:before="0" w:beforeAutospacing="0" w:after="0" w:afterAutospacing="0"/>
              <w:jc w:val="both"/>
              <w:rPr>
                <w:rFonts w:cs="Arial"/>
                <w:szCs w:val="18"/>
              </w:rPr>
            </w:pPr>
            <w:r>
              <w:rPr>
                <w:rFonts w:cs="Arial"/>
                <w:szCs w:val="18"/>
              </w:rPr>
              <w:t>b)</w:t>
            </w:r>
            <w:r w:rsidRPr="00A5045C">
              <w:rPr>
                <w:rFonts w:cs="Arial"/>
                <w:szCs w:val="18"/>
              </w:rPr>
              <w:t xml:space="preserve"> Le processus de mise à disposition des </w:t>
            </w:r>
            <w:r>
              <w:rPr>
                <w:rFonts w:cs="Arial"/>
                <w:szCs w:val="18"/>
              </w:rPr>
              <w:t>TSPD/IPS</w:t>
            </w:r>
            <w:r w:rsidRPr="00A5045C">
              <w:rPr>
                <w:rFonts w:cs="Arial"/>
                <w:szCs w:val="18"/>
              </w:rPr>
              <w:t xml:space="preserve"> pour l’utilisateur doit faire l’objet d’une procédure formalisée. En cas de remise des </w:t>
            </w:r>
            <w:r>
              <w:rPr>
                <w:rFonts w:cs="Arial"/>
                <w:szCs w:val="18"/>
              </w:rPr>
              <w:t>TSPD/IPS</w:t>
            </w:r>
            <w:r w:rsidRPr="00A5045C">
              <w:rPr>
                <w:rFonts w:cs="Arial"/>
                <w:szCs w:val="18"/>
              </w:rPr>
              <w:t xml:space="preserve"> à un organisme tiers (financeur, comité d’entreprise, etc.), l’émetteur et l’organisme doivent avoir formalisé un accord précisant les conditions de conservation, de gestion et de distribution des </w:t>
            </w:r>
            <w:r>
              <w:rPr>
                <w:rFonts w:cs="Arial"/>
                <w:szCs w:val="18"/>
              </w:rPr>
              <w:t>TSPD/IPS</w:t>
            </w:r>
            <w:r w:rsidRPr="00A5045C">
              <w:rPr>
                <w:rFonts w:cs="Arial"/>
                <w:szCs w:val="18"/>
              </w:rPr>
              <w:t>.</w:t>
            </w:r>
          </w:p>
        </w:tc>
        <w:tc>
          <w:tcPr>
            <w:tcW w:w="1350" w:type="dxa"/>
            <w:gridSpan w:val="2"/>
            <w:vMerge/>
            <w:vAlign w:val="center"/>
            <w:hideMark/>
          </w:tcPr>
          <w:p w14:paraId="5BA2A35D"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09620FEA" w14:textId="77777777" w:rsidR="00545AF2" w:rsidRPr="00A5045C" w:rsidRDefault="00545AF2" w:rsidP="00545AF2">
            <w:pPr>
              <w:spacing w:before="0" w:beforeAutospacing="0" w:after="0" w:afterAutospacing="0"/>
              <w:rPr>
                <w:rFonts w:cs="Arial"/>
                <w:szCs w:val="18"/>
              </w:rPr>
            </w:pPr>
          </w:p>
        </w:tc>
      </w:tr>
      <w:tr w:rsidR="00545AF2" w:rsidRPr="001148E2" w14:paraId="1E903762"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646" w:type="dxa"/>
            <w:gridSpan w:val="2"/>
            <w:shd w:val="clear" w:color="000000" w:fill="DDEBF7"/>
            <w:noWrap/>
            <w:vAlign w:val="center"/>
            <w:hideMark/>
          </w:tcPr>
          <w:p w14:paraId="05B98C33" w14:textId="042E1AA5" w:rsidR="00545AF2" w:rsidRPr="00A5045C" w:rsidRDefault="00545AF2" w:rsidP="00545AF2">
            <w:pPr>
              <w:spacing w:before="0" w:beforeAutospacing="0" w:after="0" w:afterAutospacing="0"/>
              <w:jc w:val="center"/>
              <w:rPr>
                <w:rFonts w:cs="Arial"/>
                <w:b/>
                <w:bCs/>
                <w:szCs w:val="18"/>
              </w:rPr>
            </w:pPr>
            <w:r>
              <w:rPr>
                <w:rFonts w:cs="Arial"/>
                <w:b/>
                <w:bCs/>
                <w:szCs w:val="18"/>
              </w:rPr>
              <w:lastRenderedPageBreak/>
              <w:t>7</w:t>
            </w:r>
            <w:r w:rsidRPr="00A5045C">
              <w:rPr>
                <w:rFonts w:cs="Arial"/>
                <w:b/>
                <w:bCs/>
                <w:szCs w:val="18"/>
              </w:rPr>
              <w:t xml:space="preserve">.3 </w:t>
            </w:r>
          </w:p>
        </w:tc>
        <w:tc>
          <w:tcPr>
            <w:tcW w:w="10211" w:type="dxa"/>
            <w:gridSpan w:val="2"/>
            <w:shd w:val="clear" w:color="000000" w:fill="DDEBF7"/>
            <w:noWrap/>
            <w:vAlign w:val="center"/>
            <w:hideMark/>
          </w:tcPr>
          <w:p w14:paraId="3A442817"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L’émetteur doit limiter le nombre de tentatives de connexion et définir des règles de fin de session lorsque l’employeur ou l’utilisateur est connecté à son environnement de gestion.  Lorsque le nombre maximum de tentatives de connexion est atteint, le compte de l’utilisateur doit être bloqué et une procédure doit être formalisée définissant les règles et conditions de déblocage du compte de l’utilisateur.</w:t>
            </w:r>
          </w:p>
        </w:tc>
        <w:tc>
          <w:tcPr>
            <w:tcW w:w="1350" w:type="dxa"/>
            <w:gridSpan w:val="2"/>
            <w:shd w:val="clear" w:color="000000" w:fill="DDEBF7"/>
            <w:vAlign w:val="center"/>
            <w:hideMark/>
          </w:tcPr>
          <w:p w14:paraId="63C2D099"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43C95A0B"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30769733"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646" w:type="dxa"/>
            <w:gridSpan w:val="2"/>
            <w:shd w:val="clear" w:color="000000" w:fill="FFFFFF"/>
            <w:noWrap/>
            <w:vAlign w:val="center"/>
            <w:hideMark/>
          </w:tcPr>
          <w:p w14:paraId="1DA966D9" w14:textId="77777777" w:rsidR="00112CE3" w:rsidRPr="00A5045C" w:rsidRDefault="00112CE3" w:rsidP="00112CE3">
            <w:pPr>
              <w:spacing w:before="0" w:beforeAutospacing="0" w:after="0" w:afterAutospacing="0"/>
              <w:jc w:val="center"/>
              <w:rPr>
                <w:rFonts w:cs="Arial"/>
                <w:szCs w:val="18"/>
              </w:rPr>
            </w:pPr>
            <w:r w:rsidRPr="00A5045C">
              <w:rPr>
                <w:rFonts w:cs="Arial"/>
                <w:szCs w:val="18"/>
              </w:rPr>
              <w:t> </w:t>
            </w:r>
          </w:p>
        </w:tc>
        <w:tc>
          <w:tcPr>
            <w:tcW w:w="10211" w:type="dxa"/>
            <w:gridSpan w:val="2"/>
            <w:shd w:val="clear" w:color="000000" w:fill="FFFFFF"/>
            <w:noWrap/>
            <w:vAlign w:val="center"/>
            <w:hideMark/>
          </w:tcPr>
          <w:p w14:paraId="06DB47CF" w14:textId="77777777" w:rsidR="00112CE3" w:rsidRPr="00A5045C" w:rsidRDefault="00112CE3" w:rsidP="00112CE3">
            <w:pPr>
              <w:spacing w:before="0" w:beforeAutospacing="0" w:after="0" w:afterAutospacing="0"/>
              <w:jc w:val="both"/>
              <w:rPr>
                <w:rFonts w:cs="Arial"/>
                <w:szCs w:val="18"/>
              </w:rPr>
            </w:pPr>
            <w:r w:rsidRPr="00A5045C">
              <w:rPr>
                <w:rFonts w:cs="Arial"/>
                <w:szCs w:val="18"/>
              </w:rPr>
              <w:t xml:space="preserve">- L’émetteur a défini et mis en œuvre un ensemble de règles d'habilitation aux environnements d’émission et de gestion des </w:t>
            </w:r>
            <w:r>
              <w:rPr>
                <w:rFonts w:cs="Arial"/>
                <w:szCs w:val="18"/>
              </w:rPr>
              <w:t>TSPD/IPS</w:t>
            </w:r>
            <w:r w:rsidRPr="00A5045C">
              <w:rPr>
                <w:rFonts w:cs="Arial"/>
                <w:szCs w:val="18"/>
              </w:rPr>
              <w:t>, qui régit les conditions et limitations d'accès aux services (durée maximale des sessions, nombre de tentatives de connexion, modalités de blocage/déblocage des comptes,...).</w:t>
            </w:r>
          </w:p>
        </w:tc>
        <w:tc>
          <w:tcPr>
            <w:tcW w:w="1350" w:type="dxa"/>
            <w:gridSpan w:val="2"/>
            <w:shd w:val="clear" w:color="000000" w:fill="FF0000"/>
            <w:vAlign w:val="center"/>
            <w:hideMark/>
          </w:tcPr>
          <w:p w14:paraId="255E93C9" w14:textId="4DA5A1D0"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shd w:val="clear" w:color="auto" w:fill="FF0000"/>
            <w:vAlign w:val="center"/>
            <w:hideMark/>
          </w:tcPr>
          <w:p w14:paraId="385859B7" w14:textId="5D0468EB"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2AFD9811"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646" w:type="dxa"/>
            <w:gridSpan w:val="2"/>
            <w:shd w:val="clear" w:color="000000" w:fill="DDEBF7"/>
            <w:noWrap/>
            <w:vAlign w:val="center"/>
            <w:hideMark/>
          </w:tcPr>
          <w:p w14:paraId="50935193" w14:textId="77C0D9A5" w:rsidR="00545AF2" w:rsidRPr="00A5045C" w:rsidRDefault="00545AF2" w:rsidP="00545AF2">
            <w:pPr>
              <w:spacing w:before="0" w:beforeAutospacing="0" w:after="0" w:afterAutospacing="0"/>
              <w:jc w:val="center"/>
              <w:rPr>
                <w:rFonts w:cs="Arial"/>
                <w:b/>
                <w:bCs/>
                <w:szCs w:val="18"/>
              </w:rPr>
            </w:pPr>
            <w:r>
              <w:rPr>
                <w:rFonts w:cs="Arial"/>
                <w:b/>
                <w:bCs/>
                <w:szCs w:val="18"/>
              </w:rPr>
              <w:t>7</w:t>
            </w:r>
            <w:r w:rsidRPr="00A5045C">
              <w:rPr>
                <w:rFonts w:cs="Arial"/>
                <w:b/>
                <w:bCs/>
                <w:szCs w:val="18"/>
              </w:rPr>
              <w:t xml:space="preserve">.4 </w:t>
            </w:r>
          </w:p>
        </w:tc>
        <w:tc>
          <w:tcPr>
            <w:tcW w:w="10211" w:type="dxa"/>
            <w:gridSpan w:val="2"/>
            <w:shd w:val="clear" w:color="000000" w:fill="DDEBF7"/>
            <w:noWrap/>
            <w:vAlign w:val="center"/>
            <w:hideMark/>
          </w:tcPr>
          <w:p w14:paraId="3EAD4A45"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L’enrôlement et l’équipement du bénéficiaire en dispositif de paiement doivent être sécurisés et faire l’objet d’une procédure formalisée.</w:t>
            </w:r>
          </w:p>
        </w:tc>
        <w:tc>
          <w:tcPr>
            <w:tcW w:w="1350" w:type="dxa"/>
            <w:gridSpan w:val="2"/>
            <w:shd w:val="clear" w:color="000000" w:fill="DDEBF7"/>
            <w:vAlign w:val="center"/>
            <w:hideMark/>
          </w:tcPr>
          <w:p w14:paraId="1907190D"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4058D559"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3D5FB622"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2"/>
        </w:trPr>
        <w:tc>
          <w:tcPr>
            <w:tcW w:w="646" w:type="dxa"/>
            <w:gridSpan w:val="2"/>
            <w:shd w:val="clear" w:color="000000" w:fill="FFFFFF"/>
            <w:noWrap/>
            <w:vAlign w:val="center"/>
            <w:hideMark/>
          </w:tcPr>
          <w:p w14:paraId="5DBF8AC2" w14:textId="77777777" w:rsidR="00112CE3" w:rsidRPr="00A5045C" w:rsidRDefault="00112CE3" w:rsidP="00112CE3">
            <w:pPr>
              <w:spacing w:before="0" w:beforeAutospacing="0" w:after="0" w:afterAutospacing="0"/>
              <w:jc w:val="center"/>
              <w:rPr>
                <w:rFonts w:cs="Arial"/>
                <w:szCs w:val="18"/>
              </w:rPr>
            </w:pPr>
            <w:r w:rsidRPr="00A5045C">
              <w:rPr>
                <w:rFonts w:cs="Arial"/>
                <w:szCs w:val="18"/>
              </w:rPr>
              <w:t> </w:t>
            </w:r>
          </w:p>
        </w:tc>
        <w:tc>
          <w:tcPr>
            <w:tcW w:w="10211" w:type="dxa"/>
            <w:gridSpan w:val="2"/>
            <w:shd w:val="clear" w:color="000000" w:fill="FFFFFF"/>
            <w:noWrap/>
            <w:vAlign w:val="center"/>
            <w:hideMark/>
          </w:tcPr>
          <w:p w14:paraId="183B125D" w14:textId="77777777" w:rsidR="00112CE3" w:rsidRPr="00A5045C" w:rsidRDefault="00112CE3" w:rsidP="00112CE3">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xml:space="preserve"> a défini et formalisé les conditions d’enrôlement et d’équipement des utilisateurs. Il veille à un niveau de sécurisation adéquat de ces deux processus permettant de s’assurer de la délivrance des </w:t>
            </w:r>
            <w:r>
              <w:rPr>
                <w:rFonts w:cs="Arial"/>
                <w:szCs w:val="18"/>
              </w:rPr>
              <w:t>TSPD/IPS</w:t>
            </w:r>
            <w:r w:rsidRPr="00A5045C">
              <w:rPr>
                <w:rFonts w:cs="Arial"/>
                <w:szCs w:val="18"/>
              </w:rPr>
              <w:t xml:space="preserve"> à l’utilisateur final pour ce qui concerne l’enrôlement,  et de la sécurisation du consentement à l’opération de paiement pour ce qui concerne l’équipement.</w:t>
            </w:r>
          </w:p>
        </w:tc>
        <w:tc>
          <w:tcPr>
            <w:tcW w:w="1350" w:type="dxa"/>
            <w:gridSpan w:val="2"/>
            <w:shd w:val="clear" w:color="000000" w:fill="FF0000"/>
            <w:vAlign w:val="center"/>
            <w:hideMark/>
          </w:tcPr>
          <w:p w14:paraId="2D3C441E" w14:textId="38407C15"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shd w:val="clear" w:color="auto" w:fill="FF0000"/>
            <w:vAlign w:val="center"/>
            <w:hideMark/>
          </w:tcPr>
          <w:p w14:paraId="7C0DED90" w14:textId="45E70CB0" w:rsidR="00112CE3" w:rsidRPr="00A5045C" w:rsidRDefault="00112CE3" w:rsidP="00112CE3">
            <w:pPr>
              <w:spacing w:before="0" w:beforeAutospacing="0" w:after="0" w:afterAutospacing="0"/>
              <w:jc w:val="center"/>
              <w:rPr>
                <w:rFonts w:cs="Arial"/>
                <w:szCs w:val="18"/>
              </w:rPr>
            </w:pPr>
            <w:r>
              <w:rPr>
                <w:rFonts w:cs="Arial"/>
                <w:color w:val="000000"/>
                <w:szCs w:val="18"/>
              </w:rPr>
              <w:t xml:space="preserve">500 caractères </w:t>
            </w:r>
            <w:r w:rsidR="00D271EB" w:rsidRPr="00146FA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545AF2" w:rsidRPr="00A826E0" w14:paraId="543B9A47" w14:textId="77777777" w:rsidTr="00733123">
        <w:trPr>
          <w:trHeight w:val="276"/>
        </w:trPr>
        <w:tc>
          <w:tcPr>
            <w:tcW w:w="6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BDB03E8" w14:textId="3C6A8780" w:rsidR="00545AF2" w:rsidRPr="00A826E0" w:rsidRDefault="00545AF2" w:rsidP="00545AF2">
            <w:pPr>
              <w:spacing w:before="0" w:beforeAutospacing="0" w:after="0" w:afterAutospacing="0"/>
              <w:jc w:val="center"/>
              <w:rPr>
                <w:rFonts w:cs="Arial"/>
                <w:b/>
                <w:sz w:val="20"/>
                <w:szCs w:val="18"/>
              </w:rPr>
            </w:pPr>
            <w:r>
              <w:rPr>
                <w:rFonts w:cs="Arial"/>
                <w:b/>
                <w:sz w:val="20"/>
                <w:szCs w:val="18"/>
              </w:rPr>
              <w:t>8</w:t>
            </w:r>
            <w:r w:rsidRPr="00A826E0">
              <w:rPr>
                <w:rFonts w:cs="Arial"/>
                <w:b/>
                <w:sz w:val="20"/>
                <w:szCs w:val="18"/>
              </w:rPr>
              <w:t>.</w:t>
            </w:r>
          </w:p>
        </w:tc>
        <w:tc>
          <w:tcPr>
            <w:tcW w:w="14106"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3C318EAF" w14:textId="77777777" w:rsidR="00545AF2" w:rsidRPr="00A826E0" w:rsidRDefault="00545AF2" w:rsidP="00545AF2">
            <w:pPr>
              <w:spacing w:before="0" w:beforeAutospacing="0" w:after="0" w:afterAutospacing="0"/>
              <w:rPr>
                <w:rFonts w:cs="Arial"/>
                <w:b/>
                <w:sz w:val="20"/>
                <w:szCs w:val="18"/>
              </w:rPr>
            </w:pPr>
            <w:r w:rsidRPr="00A826E0">
              <w:rPr>
                <w:rFonts w:cs="Arial"/>
                <w:b/>
                <w:sz w:val="20"/>
                <w:szCs w:val="18"/>
              </w:rPr>
              <w:t xml:space="preserve">Sécurité de la transmission des supports de </w:t>
            </w:r>
            <w:r>
              <w:rPr>
                <w:rFonts w:cs="Arial"/>
                <w:b/>
                <w:sz w:val="20"/>
                <w:szCs w:val="18"/>
              </w:rPr>
              <w:t>TSPD/IPS</w:t>
            </w:r>
          </w:p>
        </w:tc>
      </w:tr>
      <w:tr w:rsidR="00545AF2" w:rsidRPr="001148E2" w14:paraId="186298C8" w14:textId="77777777" w:rsidTr="00733123">
        <w:trPr>
          <w:trHeight w:val="72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D9A734F" w14:textId="5DDD1D61" w:rsidR="00545AF2" w:rsidRPr="00A5045C" w:rsidRDefault="00545AF2" w:rsidP="00545AF2">
            <w:pPr>
              <w:spacing w:before="0" w:beforeAutospacing="0" w:after="0" w:afterAutospacing="0"/>
              <w:jc w:val="center"/>
              <w:rPr>
                <w:rFonts w:cs="Arial"/>
                <w:b/>
                <w:bCs/>
                <w:szCs w:val="18"/>
              </w:rPr>
            </w:pPr>
            <w:r>
              <w:rPr>
                <w:rFonts w:cs="Arial"/>
                <w:b/>
                <w:bCs/>
                <w:szCs w:val="18"/>
              </w:rPr>
              <w:t>8</w:t>
            </w:r>
            <w:r w:rsidRPr="00A5045C">
              <w:rPr>
                <w:rFonts w:cs="Arial"/>
                <w:b/>
                <w:bCs/>
                <w:szCs w:val="18"/>
              </w:rPr>
              <w:t xml:space="preserve">.1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946452F"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L’émetteur a analysé ses risques de perte ou de vol des supports. Cette analyse couvre l’ensemble des transports à réaliser pour l’acheminement jusqu’à l’utilisateur final et prend donc en compte l’environnement du financeur.</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17D911B7"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7D8953D9"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7CC2591E" w14:textId="77777777" w:rsidTr="006F0D8B">
        <w:trPr>
          <w:trHeight w:val="912"/>
        </w:trPr>
        <w:tc>
          <w:tcPr>
            <w:tcW w:w="6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8BE855" w14:textId="77777777" w:rsidR="00112CE3" w:rsidRPr="00A5045C" w:rsidRDefault="00112CE3" w:rsidP="00112CE3">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5CB6C8" w14:textId="77777777" w:rsidR="00112CE3" w:rsidRPr="00A5045C" w:rsidRDefault="00112CE3" w:rsidP="00112CE3">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xml:space="preserve"> doit analyser les risques liés à l’acheminement des supports des </w:t>
            </w:r>
            <w:r>
              <w:rPr>
                <w:rFonts w:cs="Arial"/>
                <w:szCs w:val="18"/>
              </w:rPr>
              <w:t>TSPD/IPS</w:t>
            </w:r>
            <w:r w:rsidRPr="00A5045C">
              <w:rPr>
                <w:rFonts w:cs="Arial"/>
                <w:szCs w:val="18"/>
              </w:rPr>
              <w:t xml:space="preserve"> en prenant en compte la chaine complète, notamment l’environnement du financeur dans le cas où une partie de l’acheminement jusqu’à l’utilisateur est assuré par un organisme tiers qui lui est rattaché (services comptables du financeur, comité d’entreprise, etc…)</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14:paraId="2ADCEF73" w14:textId="5FB0786D"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14:paraId="78DACB9E" w14:textId="6C94ECBA"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11D8CB8D" w14:textId="77777777" w:rsidTr="00733123">
        <w:trPr>
          <w:trHeight w:val="120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6E1C351" w14:textId="06BCF0F4" w:rsidR="00545AF2" w:rsidRPr="00A5045C" w:rsidRDefault="00545AF2" w:rsidP="00545AF2">
            <w:pPr>
              <w:spacing w:before="0" w:beforeAutospacing="0" w:after="0" w:afterAutospacing="0"/>
              <w:jc w:val="center"/>
              <w:rPr>
                <w:rFonts w:cs="Arial"/>
                <w:b/>
                <w:bCs/>
                <w:szCs w:val="18"/>
              </w:rPr>
            </w:pPr>
            <w:r>
              <w:rPr>
                <w:rFonts w:cs="Arial"/>
                <w:b/>
                <w:bCs/>
                <w:szCs w:val="18"/>
              </w:rPr>
              <w:t>8</w:t>
            </w:r>
            <w:r w:rsidRPr="00A5045C">
              <w:rPr>
                <w:rFonts w:cs="Arial"/>
                <w:b/>
                <w:bCs/>
                <w:szCs w:val="18"/>
              </w:rPr>
              <w:t xml:space="preserve">.2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E0ED829"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 xml:space="preserve">L’émetteur dispose de procédures d’acheminement appropriées qui permettent de répondre aux besoins de sécurité identifiés par l’analyse. Ces procédures mettent notamment en œuvre des moyens de protection, de détection d’incident et d’alerte qui répondent à la sensibilité des actifs acheminés et des risques pour l’émetteur et les autres acteurs du système si ces supports venaient à être volés ou perdus. </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7A877FA6"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3B38EC94"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5B60AA96" w14:textId="77777777" w:rsidTr="006F0D8B">
        <w:trPr>
          <w:trHeight w:val="456"/>
        </w:trPr>
        <w:tc>
          <w:tcPr>
            <w:tcW w:w="646" w:type="dxa"/>
            <w:gridSpan w:val="2"/>
            <w:vMerge w:val="restart"/>
            <w:tcBorders>
              <w:top w:val="single" w:sz="4" w:space="0" w:color="auto"/>
              <w:left w:val="single" w:sz="4" w:space="0" w:color="auto"/>
              <w:right w:val="single" w:sz="4" w:space="0" w:color="auto"/>
            </w:tcBorders>
            <w:shd w:val="clear" w:color="000000" w:fill="FFFFFF"/>
            <w:noWrap/>
            <w:vAlign w:val="center"/>
          </w:tcPr>
          <w:p w14:paraId="45059546" w14:textId="77777777" w:rsidR="00112CE3" w:rsidRPr="00A5045C" w:rsidRDefault="00112CE3" w:rsidP="00112CE3">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3C68FD" w14:textId="19746489" w:rsidR="00112CE3" w:rsidRPr="00A5045C" w:rsidRDefault="00112CE3" w:rsidP="00112CE3">
            <w:pPr>
              <w:spacing w:before="0" w:beforeAutospacing="0" w:after="0" w:afterAutospacing="0"/>
              <w:jc w:val="both"/>
              <w:rPr>
                <w:rFonts w:cs="Arial"/>
                <w:szCs w:val="18"/>
              </w:rPr>
            </w:pPr>
            <w:r>
              <w:rPr>
                <w:rFonts w:cs="Arial"/>
                <w:szCs w:val="18"/>
              </w:rPr>
              <w:t>a)</w:t>
            </w:r>
            <w:r w:rsidRPr="00A5045C">
              <w:rPr>
                <w:rFonts w:cs="Arial"/>
                <w:szCs w:val="18"/>
              </w:rPr>
              <w:t xml:space="preserve"> L’émetteur doit mettre en place des mesures de protection visant à sécuriser l’acheminement des supports des </w:t>
            </w:r>
            <w:r>
              <w:rPr>
                <w:rFonts w:cs="Arial"/>
                <w:szCs w:val="18"/>
              </w:rPr>
              <w:t>TSPD/IPS</w:t>
            </w:r>
            <w:r w:rsidRPr="00A5045C">
              <w:rPr>
                <w:rFonts w:cs="Arial"/>
                <w:szCs w:val="18"/>
              </w:rPr>
              <w:t xml:space="preserve"> vers les utilisateurs.</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62945B1E" w14:textId="361C6115"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70788A5B" w14:textId="5D2C1617" w:rsidR="00112CE3" w:rsidRPr="00A5045C" w:rsidRDefault="00112CE3" w:rsidP="00112CE3">
            <w:pPr>
              <w:spacing w:before="0" w:beforeAutospacing="0" w:after="0" w:afterAutospacing="0"/>
              <w:jc w:val="center"/>
              <w:rPr>
                <w:rFonts w:cs="Arial"/>
                <w:szCs w:val="18"/>
              </w:rPr>
            </w:pPr>
            <w:r>
              <w:rPr>
                <w:rFonts w:cs="Arial"/>
                <w:color w:val="000000"/>
                <w:szCs w:val="18"/>
              </w:rPr>
              <w:t xml:space="preserve">500 caractères </w:t>
            </w:r>
            <w:r w:rsidR="00D271EB" w:rsidRPr="00146FA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545AF2" w:rsidRPr="001148E2" w14:paraId="75C594B5" w14:textId="77777777" w:rsidTr="006F0D8B">
        <w:trPr>
          <w:trHeight w:val="456"/>
        </w:trPr>
        <w:tc>
          <w:tcPr>
            <w:tcW w:w="646" w:type="dxa"/>
            <w:gridSpan w:val="2"/>
            <w:vMerge/>
            <w:tcBorders>
              <w:left w:val="single" w:sz="4" w:space="0" w:color="auto"/>
              <w:right w:val="single" w:sz="4" w:space="0" w:color="auto"/>
            </w:tcBorders>
            <w:shd w:val="clear" w:color="000000" w:fill="FFFFFF"/>
            <w:noWrap/>
            <w:vAlign w:val="center"/>
            <w:hideMark/>
          </w:tcPr>
          <w:p w14:paraId="267D1B21" w14:textId="77777777" w:rsidR="00545AF2" w:rsidRPr="00A5045C" w:rsidRDefault="00545AF2" w:rsidP="00545AF2">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868447" w14:textId="21418F79" w:rsidR="00545AF2" w:rsidRPr="00A5045C" w:rsidRDefault="00545AF2" w:rsidP="00545AF2">
            <w:pPr>
              <w:spacing w:before="0" w:beforeAutospacing="0" w:after="0" w:afterAutospacing="0"/>
              <w:jc w:val="both"/>
              <w:rPr>
                <w:rFonts w:cs="Arial"/>
                <w:szCs w:val="18"/>
              </w:rPr>
            </w:pPr>
            <w:r>
              <w:rPr>
                <w:rFonts w:cs="Arial"/>
                <w:szCs w:val="18"/>
              </w:rPr>
              <w:t>b)</w:t>
            </w:r>
            <w:r w:rsidRPr="00A5045C">
              <w:rPr>
                <w:rFonts w:cs="Arial"/>
                <w:szCs w:val="18"/>
              </w:rPr>
              <w:t xml:space="preserve"> L’émetteur de </w:t>
            </w:r>
            <w:r>
              <w:rPr>
                <w:rFonts w:cs="Arial"/>
                <w:szCs w:val="18"/>
              </w:rPr>
              <w:t>TSPD/IPS</w:t>
            </w:r>
            <w:r w:rsidRPr="00A5045C">
              <w:rPr>
                <w:rFonts w:cs="Arial"/>
                <w:szCs w:val="18"/>
              </w:rPr>
              <w:t xml:space="preserve"> assure un suivi des supports des titres délivrés pour détecter les incidents lors de l’acheminement.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4B8D4F9D"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0734203E" w14:textId="77777777" w:rsidR="00545AF2" w:rsidRPr="00A5045C" w:rsidRDefault="00545AF2" w:rsidP="00545AF2">
            <w:pPr>
              <w:spacing w:before="0" w:beforeAutospacing="0" w:after="0" w:afterAutospacing="0"/>
              <w:rPr>
                <w:rFonts w:cs="Arial"/>
                <w:szCs w:val="18"/>
              </w:rPr>
            </w:pPr>
          </w:p>
        </w:tc>
      </w:tr>
      <w:tr w:rsidR="00545AF2" w:rsidRPr="001148E2" w14:paraId="5E677303" w14:textId="77777777" w:rsidTr="006F0D8B">
        <w:trPr>
          <w:trHeight w:val="456"/>
        </w:trPr>
        <w:tc>
          <w:tcPr>
            <w:tcW w:w="646" w:type="dxa"/>
            <w:gridSpan w:val="2"/>
            <w:vMerge/>
            <w:tcBorders>
              <w:left w:val="single" w:sz="4" w:space="0" w:color="auto"/>
              <w:bottom w:val="single" w:sz="4" w:space="0" w:color="auto"/>
              <w:right w:val="single" w:sz="4" w:space="0" w:color="auto"/>
            </w:tcBorders>
            <w:shd w:val="clear" w:color="000000" w:fill="FFFFFF"/>
            <w:noWrap/>
            <w:vAlign w:val="center"/>
            <w:hideMark/>
          </w:tcPr>
          <w:p w14:paraId="37E6C7B6" w14:textId="77777777" w:rsidR="00545AF2" w:rsidRPr="00A5045C" w:rsidRDefault="00545AF2" w:rsidP="00545AF2">
            <w:pPr>
              <w:spacing w:before="0" w:beforeAutospacing="0" w:after="0" w:afterAutospacing="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885095" w14:textId="6B29D52B" w:rsidR="00545AF2" w:rsidRPr="00A5045C" w:rsidRDefault="00545AF2" w:rsidP="00545AF2">
            <w:pPr>
              <w:spacing w:before="0" w:beforeAutospacing="0" w:after="0" w:afterAutospacing="0"/>
              <w:jc w:val="both"/>
              <w:rPr>
                <w:rFonts w:cs="Arial"/>
                <w:szCs w:val="18"/>
              </w:rPr>
            </w:pPr>
            <w:r>
              <w:rPr>
                <w:rFonts w:cs="Arial"/>
                <w:szCs w:val="18"/>
              </w:rPr>
              <w:t>c)</w:t>
            </w:r>
            <w:r w:rsidRPr="00A5045C">
              <w:rPr>
                <w:rFonts w:cs="Arial"/>
                <w:szCs w:val="18"/>
              </w:rPr>
              <w:t xml:space="preserve"> La délivrance du code utilisateur personnel permettant de confirmer une opération de paiement par </w:t>
            </w:r>
            <w:r>
              <w:rPr>
                <w:rFonts w:cs="Arial"/>
                <w:szCs w:val="18"/>
              </w:rPr>
              <w:t>TSPD/IPS</w:t>
            </w:r>
            <w:r w:rsidRPr="00A5045C">
              <w:rPr>
                <w:rFonts w:cs="Arial"/>
                <w:szCs w:val="18"/>
              </w:rPr>
              <w:t xml:space="preserve"> est réalisée distinctement de la délivrance du support physique de paiement.</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27883833"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2FE0CEBA" w14:textId="77777777" w:rsidR="00545AF2" w:rsidRPr="00A5045C" w:rsidRDefault="00545AF2" w:rsidP="00545AF2">
            <w:pPr>
              <w:spacing w:before="0" w:beforeAutospacing="0" w:after="0" w:afterAutospacing="0"/>
              <w:rPr>
                <w:rFonts w:cs="Arial"/>
                <w:szCs w:val="18"/>
              </w:rPr>
            </w:pPr>
          </w:p>
        </w:tc>
      </w:tr>
      <w:tr w:rsidR="00545AF2" w:rsidRPr="001148E2" w14:paraId="4385C7AC" w14:textId="77777777" w:rsidTr="00733123">
        <w:trPr>
          <w:trHeight w:val="48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1B411D5" w14:textId="3EE3C603" w:rsidR="00545AF2" w:rsidRPr="00A5045C" w:rsidRDefault="00545AF2" w:rsidP="00545AF2">
            <w:pPr>
              <w:spacing w:before="0" w:beforeAutospacing="0" w:after="0" w:afterAutospacing="0"/>
              <w:jc w:val="center"/>
              <w:rPr>
                <w:rFonts w:cs="Arial"/>
                <w:b/>
                <w:bCs/>
                <w:szCs w:val="18"/>
              </w:rPr>
            </w:pPr>
            <w:r>
              <w:rPr>
                <w:rFonts w:cs="Arial"/>
                <w:b/>
                <w:bCs/>
                <w:szCs w:val="18"/>
              </w:rPr>
              <w:t>8</w:t>
            </w:r>
            <w:r w:rsidRPr="00A5045C">
              <w:rPr>
                <w:rFonts w:cs="Arial"/>
                <w:b/>
                <w:bCs/>
                <w:szCs w:val="18"/>
              </w:rPr>
              <w:t xml:space="preserve">.3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41CE6C1"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 xml:space="preserve">L’émetteur effectue, au titre du contrôle interne, un suivi régulier de l’adéquation et de la bonne application de ses procédures de transmission des supports de </w:t>
            </w:r>
            <w:r>
              <w:rPr>
                <w:rFonts w:cs="Arial"/>
                <w:b/>
                <w:bCs/>
                <w:szCs w:val="18"/>
              </w:rPr>
              <w:t>TSPD/IPS</w:t>
            </w:r>
            <w:r w:rsidRPr="00A5045C">
              <w:rPr>
                <w:rFonts w:cs="Arial"/>
                <w:b/>
                <w:bCs/>
                <w:szCs w:val="18"/>
              </w:rPr>
              <w:t xml:space="preserve">. </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53CD53CD"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0714C993" w14:textId="77777777" w:rsidR="00545AF2" w:rsidRPr="00A5045C" w:rsidRDefault="00545AF2" w:rsidP="00545AF2">
            <w:pPr>
              <w:spacing w:before="0" w:beforeAutospacing="0" w:after="0" w:afterAutospacing="0"/>
              <w:jc w:val="center"/>
              <w:rPr>
                <w:rFonts w:cs="Arial"/>
                <w:szCs w:val="18"/>
              </w:rPr>
            </w:pPr>
          </w:p>
        </w:tc>
      </w:tr>
      <w:tr w:rsidR="00112CE3" w:rsidRPr="001148E2" w14:paraId="7CDA4C55" w14:textId="77777777" w:rsidTr="006F0D8B">
        <w:trPr>
          <w:trHeight w:val="684"/>
        </w:trPr>
        <w:tc>
          <w:tcPr>
            <w:tcW w:w="646" w:type="dxa"/>
            <w:gridSpan w:val="2"/>
            <w:vMerge w:val="restart"/>
            <w:tcBorders>
              <w:top w:val="single" w:sz="4" w:space="0" w:color="auto"/>
              <w:left w:val="single" w:sz="4" w:space="0" w:color="auto"/>
              <w:right w:val="single" w:sz="4" w:space="0" w:color="auto"/>
            </w:tcBorders>
            <w:shd w:val="clear" w:color="000000" w:fill="FFFFFF"/>
            <w:noWrap/>
            <w:vAlign w:val="center"/>
          </w:tcPr>
          <w:p w14:paraId="7E49DEF5" w14:textId="77777777" w:rsidR="00112CE3" w:rsidRPr="00A5045C" w:rsidRDefault="00112CE3" w:rsidP="00112CE3">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FB5629" w14:textId="43303070" w:rsidR="00112CE3" w:rsidRPr="00A5045C" w:rsidRDefault="00112CE3" w:rsidP="00112CE3">
            <w:pPr>
              <w:spacing w:before="0" w:beforeAutospacing="0" w:after="0" w:afterAutospacing="0"/>
              <w:jc w:val="both"/>
              <w:rPr>
                <w:rFonts w:cs="Arial"/>
                <w:szCs w:val="18"/>
              </w:rPr>
            </w:pPr>
            <w:r>
              <w:rPr>
                <w:rFonts w:cs="Arial"/>
                <w:szCs w:val="18"/>
              </w:rPr>
              <w:t>a)</w:t>
            </w:r>
            <w:r w:rsidRPr="00A5045C">
              <w:rPr>
                <w:rFonts w:cs="Arial"/>
                <w:szCs w:val="18"/>
              </w:rPr>
              <w:t xml:space="preserve"> Les procédures de gestion relatives à l’émission et à la gestion des </w:t>
            </w:r>
            <w:r>
              <w:rPr>
                <w:rFonts w:cs="Arial"/>
                <w:szCs w:val="18"/>
              </w:rPr>
              <w:t>TSPD/IPS</w:t>
            </w:r>
            <w:r w:rsidRPr="00A5045C">
              <w:rPr>
                <w:rFonts w:cs="Arial"/>
                <w:szCs w:val="18"/>
              </w:rPr>
              <w:t xml:space="preserve"> doivent être actualisées régulièrement en fonction des évolutions relatives à la politique de sécurité, aux processus opérationnels et aux systèmes d'information. Un dispositif de contrôle permanent s’assure de leur correcte application.</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2F255829" w14:textId="4E3B0E67"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46B3DAB6" w14:textId="342B988F" w:rsidR="00112CE3" w:rsidRPr="00A5045C" w:rsidRDefault="00112CE3" w:rsidP="00112CE3">
            <w:pPr>
              <w:spacing w:before="0" w:beforeAutospacing="0" w:after="0" w:afterAutospacing="0"/>
              <w:jc w:val="center"/>
              <w:rPr>
                <w:rFonts w:cs="Arial"/>
                <w:szCs w:val="18"/>
              </w:rPr>
            </w:pPr>
            <w:r>
              <w:rPr>
                <w:rFonts w:cs="Arial"/>
                <w:color w:val="000000"/>
                <w:szCs w:val="18"/>
              </w:rPr>
              <w:t xml:space="preserve">500 caractères </w:t>
            </w:r>
            <w:r w:rsidR="00D271EB" w:rsidRPr="00146FAC">
              <w:rPr>
                <w:rFonts w:cs="Arial"/>
                <w:color w:val="000000"/>
                <w:szCs w:val="18"/>
              </w:rPr>
              <w:t xml:space="preserve">alphanumériques </w:t>
            </w:r>
            <w:r>
              <w:rPr>
                <w:rFonts w:cs="Arial"/>
                <w:color w:val="000000"/>
                <w:szCs w:val="18"/>
              </w:rPr>
              <w:t xml:space="preserve">minimum - </w:t>
            </w:r>
            <w:r>
              <w:rPr>
                <w:rFonts w:cs="Arial"/>
                <w:color w:val="000000"/>
                <w:szCs w:val="18"/>
              </w:rPr>
              <w:lastRenderedPageBreak/>
              <w:t>2 000</w:t>
            </w:r>
            <w:r w:rsidRPr="00146FAC">
              <w:rPr>
                <w:rFonts w:cs="Arial"/>
                <w:color w:val="000000"/>
                <w:szCs w:val="18"/>
              </w:rPr>
              <w:t xml:space="preserve"> caractères alphanumériques maximum</w:t>
            </w:r>
          </w:p>
        </w:tc>
      </w:tr>
      <w:tr w:rsidR="00545AF2" w:rsidRPr="001148E2" w14:paraId="7E86770A" w14:textId="77777777" w:rsidTr="006F0D8B">
        <w:trPr>
          <w:trHeight w:val="684"/>
        </w:trPr>
        <w:tc>
          <w:tcPr>
            <w:tcW w:w="646" w:type="dxa"/>
            <w:gridSpan w:val="2"/>
            <w:vMerge/>
            <w:tcBorders>
              <w:left w:val="single" w:sz="4" w:space="0" w:color="auto"/>
              <w:right w:val="single" w:sz="4" w:space="0" w:color="auto"/>
            </w:tcBorders>
            <w:shd w:val="clear" w:color="000000" w:fill="FFFFFF"/>
            <w:noWrap/>
            <w:vAlign w:val="center"/>
            <w:hideMark/>
          </w:tcPr>
          <w:p w14:paraId="5DAF5F60" w14:textId="77777777" w:rsidR="00545AF2" w:rsidRPr="00A5045C" w:rsidRDefault="00545AF2" w:rsidP="00545AF2">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EAC184" w14:textId="2ABF203D" w:rsidR="00545AF2" w:rsidRPr="00A5045C" w:rsidRDefault="00545AF2" w:rsidP="00545AF2">
            <w:pPr>
              <w:spacing w:before="0" w:beforeAutospacing="0" w:after="0" w:afterAutospacing="0"/>
              <w:jc w:val="both"/>
              <w:rPr>
                <w:rFonts w:cs="Arial"/>
                <w:szCs w:val="18"/>
              </w:rPr>
            </w:pPr>
            <w:r>
              <w:rPr>
                <w:rFonts w:cs="Arial"/>
                <w:szCs w:val="18"/>
              </w:rPr>
              <w:t>b)</w:t>
            </w:r>
            <w:r w:rsidRPr="00A5045C">
              <w:rPr>
                <w:rFonts w:cs="Arial"/>
                <w:szCs w:val="18"/>
              </w:rPr>
              <w:t xml:space="preserve"> L’émetteur intervient dans les meilleurs délais lorsqu’il constate un défaut d’application des procédures ou lorsque celles-ci se révèlent insuffisantes ou inadéquates pour assurer le niveau de protection souhaité contre le vol ou la perte des supports de </w:t>
            </w:r>
            <w:r>
              <w:rPr>
                <w:rFonts w:cs="Arial"/>
                <w:szCs w:val="18"/>
              </w:rPr>
              <w:t>TSPD/IPS</w:t>
            </w:r>
            <w:r w:rsidRPr="00A5045C">
              <w:rPr>
                <w:rFonts w:cs="Arial"/>
                <w:szCs w:val="18"/>
              </w:rPr>
              <w:t>.</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680E9E0C"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13D21BF0" w14:textId="77777777" w:rsidR="00545AF2" w:rsidRPr="00A5045C" w:rsidRDefault="00545AF2" w:rsidP="00545AF2">
            <w:pPr>
              <w:spacing w:before="0" w:beforeAutospacing="0" w:after="0" w:afterAutospacing="0"/>
              <w:rPr>
                <w:rFonts w:cs="Arial"/>
                <w:szCs w:val="18"/>
              </w:rPr>
            </w:pPr>
          </w:p>
        </w:tc>
      </w:tr>
      <w:tr w:rsidR="00545AF2" w:rsidRPr="001148E2" w14:paraId="3A16599B" w14:textId="77777777" w:rsidTr="006F0D8B">
        <w:trPr>
          <w:trHeight w:val="456"/>
        </w:trPr>
        <w:tc>
          <w:tcPr>
            <w:tcW w:w="646" w:type="dxa"/>
            <w:gridSpan w:val="2"/>
            <w:vMerge/>
            <w:tcBorders>
              <w:left w:val="single" w:sz="4" w:space="0" w:color="auto"/>
              <w:bottom w:val="single" w:sz="4" w:space="0" w:color="auto"/>
              <w:right w:val="single" w:sz="4" w:space="0" w:color="auto"/>
            </w:tcBorders>
            <w:shd w:val="clear" w:color="000000" w:fill="FFFFFF"/>
            <w:noWrap/>
            <w:vAlign w:val="center"/>
            <w:hideMark/>
          </w:tcPr>
          <w:p w14:paraId="0791A4F6" w14:textId="77777777" w:rsidR="00545AF2" w:rsidRPr="00A5045C" w:rsidRDefault="00545AF2" w:rsidP="00545AF2">
            <w:pPr>
              <w:spacing w:before="0" w:beforeAutospacing="0" w:after="0" w:afterAutospacing="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721B40" w14:textId="01449F0D" w:rsidR="00545AF2" w:rsidRPr="00A5045C" w:rsidRDefault="00545AF2" w:rsidP="00545AF2">
            <w:pPr>
              <w:spacing w:before="0" w:beforeAutospacing="0" w:after="0" w:afterAutospacing="0"/>
              <w:jc w:val="both"/>
              <w:rPr>
                <w:rFonts w:cs="Arial"/>
                <w:szCs w:val="18"/>
              </w:rPr>
            </w:pPr>
            <w:r>
              <w:rPr>
                <w:rFonts w:cs="Arial"/>
                <w:szCs w:val="18"/>
              </w:rPr>
              <w:t>c)</w:t>
            </w:r>
            <w:r w:rsidRPr="00A5045C">
              <w:rPr>
                <w:rFonts w:cs="Arial"/>
                <w:szCs w:val="18"/>
              </w:rPr>
              <w:t xml:space="preserve"> L’émetteur de </w:t>
            </w:r>
            <w:r>
              <w:rPr>
                <w:rFonts w:cs="Arial"/>
                <w:szCs w:val="18"/>
              </w:rPr>
              <w:t>TSPD/IPS</w:t>
            </w:r>
            <w:r w:rsidRPr="00A5045C">
              <w:rPr>
                <w:rFonts w:cs="Arial"/>
                <w:szCs w:val="18"/>
              </w:rPr>
              <w:t xml:space="preserve"> s’assure que les mesures de protection mises en place pour protéger l’acheminement des </w:t>
            </w:r>
            <w:r>
              <w:rPr>
                <w:rFonts w:cs="Arial"/>
                <w:szCs w:val="18"/>
              </w:rPr>
              <w:t>TSPD/IPS</w:t>
            </w:r>
            <w:r w:rsidRPr="00A5045C">
              <w:rPr>
                <w:rFonts w:cs="Arial"/>
                <w:szCs w:val="18"/>
              </w:rPr>
              <w:t xml:space="preserve"> restent cohérentes avec les vulnérabilités et menaces identifiées.</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298C54B2"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079A009E" w14:textId="77777777" w:rsidR="00545AF2" w:rsidRPr="00A5045C" w:rsidRDefault="00545AF2" w:rsidP="00545AF2">
            <w:pPr>
              <w:spacing w:before="0" w:beforeAutospacing="0" w:after="0" w:afterAutospacing="0"/>
              <w:rPr>
                <w:rFonts w:cs="Arial"/>
                <w:szCs w:val="18"/>
              </w:rPr>
            </w:pPr>
          </w:p>
        </w:tc>
      </w:tr>
      <w:tr w:rsidR="00545AF2" w:rsidRPr="001148E2" w14:paraId="5CB8CA74" w14:textId="77777777" w:rsidTr="00733123">
        <w:trPr>
          <w:trHeight w:val="72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6786F98" w14:textId="409675DD" w:rsidR="00545AF2" w:rsidRPr="00A5045C" w:rsidRDefault="00545AF2" w:rsidP="00545AF2">
            <w:pPr>
              <w:spacing w:before="0" w:beforeAutospacing="0" w:after="0" w:afterAutospacing="0"/>
              <w:jc w:val="center"/>
              <w:rPr>
                <w:rFonts w:cs="Arial"/>
                <w:b/>
                <w:bCs/>
                <w:szCs w:val="18"/>
              </w:rPr>
            </w:pPr>
            <w:r>
              <w:rPr>
                <w:rFonts w:cs="Arial"/>
                <w:b/>
                <w:bCs/>
                <w:szCs w:val="18"/>
              </w:rPr>
              <w:t>8</w:t>
            </w:r>
            <w:r w:rsidRPr="00A5045C">
              <w:rPr>
                <w:rFonts w:cs="Arial"/>
                <w:b/>
                <w:bCs/>
                <w:szCs w:val="18"/>
              </w:rPr>
              <w:t xml:space="preserve">.4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55DDD5B"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L’accès du personnel aux locaux de stockage des supports est enregistré. Les enregistrements comportent l’identification des personnes ayant eu accès à ces locaux et ont pour vocation d’identifier l’origine d’un incident ayant eu le cas échéant un impact sur la sécurité.</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0D01BC4F"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16A1EAC8"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3850ED1E" w14:textId="77777777" w:rsidTr="006F0D8B">
        <w:trPr>
          <w:trHeight w:val="828"/>
        </w:trPr>
        <w:tc>
          <w:tcPr>
            <w:tcW w:w="646" w:type="dxa"/>
            <w:gridSpan w:val="2"/>
            <w:vMerge w:val="restart"/>
            <w:tcBorders>
              <w:top w:val="single" w:sz="4" w:space="0" w:color="auto"/>
              <w:left w:val="single" w:sz="4" w:space="0" w:color="auto"/>
              <w:right w:val="single" w:sz="4" w:space="0" w:color="auto"/>
            </w:tcBorders>
            <w:shd w:val="clear" w:color="000000" w:fill="FFFFFF"/>
            <w:noWrap/>
            <w:vAlign w:val="center"/>
          </w:tcPr>
          <w:p w14:paraId="383BAF24" w14:textId="77777777" w:rsidR="00112CE3" w:rsidRPr="00A5045C" w:rsidRDefault="00112CE3" w:rsidP="00112CE3">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BABA3D" w14:textId="67346558" w:rsidR="00112CE3" w:rsidRPr="00A5045C" w:rsidRDefault="00112CE3" w:rsidP="00112CE3">
            <w:pPr>
              <w:spacing w:before="0" w:beforeAutospacing="0" w:after="0" w:afterAutospacing="0"/>
              <w:jc w:val="both"/>
              <w:rPr>
                <w:rFonts w:cs="Arial"/>
                <w:szCs w:val="18"/>
              </w:rPr>
            </w:pPr>
            <w:r>
              <w:rPr>
                <w:rFonts w:cs="Arial"/>
                <w:szCs w:val="18"/>
              </w:rPr>
              <w:t>a)</w:t>
            </w:r>
            <w:r w:rsidRPr="00A5045C">
              <w:rPr>
                <w:rFonts w:cs="Arial"/>
                <w:szCs w:val="18"/>
              </w:rPr>
              <w:t xml:space="preserve"> L’Émetteur s’assure que les sites de stockage des équipements sont munis de contrôles d’accès.</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6A879EE8" w14:textId="0093F5F5"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6FE827EF" w14:textId="18F02B18"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45AE691A" w14:textId="77777777" w:rsidTr="006F0D8B">
        <w:trPr>
          <w:trHeight w:val="456"/>
        </w:trPr>
        <w:tc>
          <w:tcPr>
            <w:tcW w:w="646" w:type="dxa"/>
            <w:gridSpan w:val="2"/>
            <w:vMerge/>
            <w:tcBorders>
              <w:left w:val="single" w:sz="4" w:space="0" w:color="auto"/>
              <w:bottom w:val="single" w:sz="4" w:space="0" w:color="auto"/>
              <w:right w:val="single" w:sz="4" w:space="0" w:color="auto"/>
            </w:tcBorders>
            <w:shd w:val="clear" w:color="000000" w:fill="FFFFFF"/>
            <w:noWrap/>
            <w:vAlign w:val="center"/>
            <w:hideMark/>
          </w:tcPr>
          <w:p w14:paraId="13A563F4" w14:textId="77777777" w:rsidR="00545AF2" w:rsidRPr="00A5045C" w:rsidRDefault="00545AF2" w:rsidP="00545AF2">
            <w:pPr>
              <w:spacing w:before="0" w:beforeAutospacing="0" w:after="0" w:afterAutospacing="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F84921" w14:textId="6020BFE7" w:rsidR="00545AF2" w:rsidRPr="00A5045C" w:rsidRDefault="00545AF2" w:rsidP="00545AF2">
            <w:pPr>
              <w:spacing w:before="0" w:beforeAutospacing="0" w:after="0" w:afterAutospacing="0"/>
              <w:jc w:val="both"/>
              <w:rPr>
                <w:rFonts w:cs="Arial"/>
                <w:szCs w:val="18"/>
              </w:rPr>
            </w:pPr>
            <w:r>
              <w:rPr>
                <w:rFonts w:cs="Arial"/>
                <w:szCs w:val="18"/>
              </w:rPr>
              <w:t>b)</w:t>
            </w:r>
            <w:r w:rsidRPr="00A5045C">
              <w:rPr>
                <w:rFonts w:cs="Arial"/>
                <w:szCs w:val="18"/>
              </w:rPr>
              <w:t xml:space="preserve"> Les données enregistrées lors des accès physiques aux locaux de stockage permettent d'identifier les personnes concernées.</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321A4763"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353176FC" w14:textId="77777777" w:rsidR="00545AF2" w:rsidRPr="00A5045C" w:rsidRDefault="00545AF2" w:rsidP="00545AF2">
            <w:pPr>
              <w:spacing w:before="0" w:beforeAutospacing="0" w:after="0" w:afterAutospacing="0"/>
              <w:rPr>
                <w:rFonts w:cs="Arial"/>
                <w:szCs w:val="18"/>
              </w:rPr>
            </w:pPr>
          </w:p>
        </w:tc>
      </w:tr>
      <w:tr w:rsidR="00545AF2" w:rsidRPr="00A826E0" w14:paraId="34D78B0F"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46" w:type="dxa"/>
            <w:gridSpan w:val="2"/>
            <w:shd w:val="clear" w:color="auto" w:fill="B8CCE4" w:themeFill="accent1" w:themeFillTint="66"/>
            <w:noWrap/>
            <w:vAlign w:val="center"/>
            <w:hideMark/>
          </w:tcPr>
          <w:p w14:paraId="4F02F631" w14:textId="636EE013" w:rsidR="00545AF2" w:rsidRPr="00A826E0" w:rsidRDefault="00545AF2" w:rsidP="00545AF2">
            <w:pPr>
              <w:spacing w:before="0" w:beforeAutospacing="0" w:after="0" w:afterAutospacing="0"/>
              <w:jc w:val="center"/>
              <w:rPr>
                <w:rFonts w:cs="Arial"/>
                <w:b/>
                <w:sz w:val="20"/>
                <w:szCs w:val="18"/>
              </w:rPr>
            </w:pPr>
            <w:r>
              <w:rPr>
                <w:rFonts w:cs="Arial"/>
                <w:b/>
                <w:sz w:val="20"/>
                <w:szCs w:val="18"/>
              </w:rPr>
              <w:t>9</w:t>
            </w:r>
            <w:r w:rsidRPr="00A826E0">
              <w:rPr>
                <w:rFonts w:cs="Arial"/>
                <w:b/>
                <w:sz w:val="20"/>
                <w:szCs w:val="18"/>
              </w:rPr>
              <w:t>.</w:t>
            </w:r>
          </w:p>
        </w:tc>
        <w:tc>
          <w:tcPr>
            <w:tcW w:w="14106" w:type="dxa"/>
            <w:gridSpan w:val="6"/>
            <w:shd w:val="clear" w:color="auto" w:fill="B8CCE4" w:themeFill="accent1" w:themeFillTint="66"/>
            <w:noWrap/>
            <w:vAlign w:val="center"/>
            <w:hideMark/>
          </w:tcPr>
          <w:p w14:paraId="3FAB9748" w14:textId="77777777" w:rsidR="00545AF2" w:rsidRPr="00A826E0" w:rsidRDefault="00545AF2" w:rsidP="00545AF2">
            <w:pPr>
              <w:spacing w:before="0" w:beforeAutospacing="0" w:after="0" w:afterAutospacing="0"/>
              <w:rPr>
                <w:rFonts w:cs="Arial"/>
                <w:b/>
                <w:sz w:val="20"/>
                <w:szCs w:val="18"/>
              </w:rPr>
            </w:pPr>
            <w:r w:rsidRPr="00A826E0">
              <w:rPr>
                <w:rFonts w:cs="Arial"/>
                <w:b/>
                <w:sz w:val="20"/>
                <w:szCs w:val="18"/>
              </w:rPr>
              <w:t>Dispositif de surveillance des opérations</w:t>
            </w:r>
          </w:p>
        </w:tc>
      </w:tr>
      <w:tr w:rsidR="00545AF2" w:rsidRPr="001148E2" w14:paraId="22C1EA8F"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6" w:type="dxa"/>
            <w:gridSpan w:val="2"/>
            <w:shd w:val="clear" w:color="000000" w:fill="DDEBF7"/>
            <w:noWrap/>
            <w:vAlign w:val="center"/>
            <w:hideMark/>
          </w:tcPr>
          <w:p w14:paraId="4BFE997D" w14:textId="2F972CF8" w:rsidR="00545AF2" w:rsidRPr="00A5045C" w:rsidRDefault="00545AF2" w:rsidP="00545AF2">
            <w:pPr>
              <w:spacing w:before="0" w:beforeAutospacing="0" w:after="0" w:afterAutospacing="0"/>
              <w:jc w:val="center"/>
              <w:rPr>
                <w:rFonts w:cs="Arial"/>
                <w:b/>
                <w:bCs/>
                <w:szCs w:val="18"/>
              </w:rPr>
            </w:pPr>
            <w:r>
              <w:rPr>
                <w:rFonts w:cs="Arial"/>
                <w:b/>
                <w:bCs/>
                <w:szCs w:val="18"/>
              </w:rPr>
              <w:t>9</w:t>
            </w:r>
            <w:r w:rsidRPr="00A5045C">
              <w:rPr>
                <w:rFonts w:cs="Arial"/>
                <w:b/>
                <w:bCs/>
                <w:szCs w:val="18"/>
              </w:rPr>
              <w:t xml:space="preserve">.1 </w:t>
            </w:r>
          </w:p>
        </w:tc>
        <w:tc>
          <w:tcPr>
            <w:tcW w:w="10211" w:type="dxa"/>
            <w:gridSpan w:val="2"/>
            <w:shd w:val="clear" w:color="000000" w:fill="DDEBF7"/>
            <w:noWrap/>
            <w:vAlign w:val="center"/>
            <w:hideMark/>
          </w:tcPr>
          <w:p w14:paraId="01531E7D"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 xml:space="preserve">Les émetteurs doivent disposer d’un système de détection et prévention de la fraude. Les règles définies permettent de déceler les comportements potentiellement frauduleux sur la base d’un ensemble de critères (IP, liste noire, compteurs, etc.…). </w:t>
            </w:r>
          </w:p>
        </w:tc>
        <w:tc>
          <w:tcPr>
            <w:tcW w:w="1350" w:type="dxa"/>
            <w:gridSpan w:val="2"/>
            <w:shd w:val="clear" w:color="000000" w:fill="DDEBF7"/>
            <w:vAlign w:val="center"/>
            <w:hideMark/>
          </w:tcPr>
          <w:p w14:paraId="6CC55F39"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6AE3084A"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026A7F61"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46" w:type="dxa"/>
            <w:gridSpan w:val="2"/>
            <w:vMerge w:val="restart"/>
            <w:shd w:val="clear" w:color="000000" w:fill="FFFFFF"/>
            <w:noWrap/>
            <w:vAlign w:val="center"/>
          </w:tcPr>
          <w:p w14:paraId="0450242E" w14:textId="77777777" w:rsidR="00112CE3" w:rsidRPr="00A5045C" w:rsidRDefault="00112CE3" w:rsidP="00112CE3">
            <w:pPr>
              <w:spacing w:before="0" w:after="0"/>
              <w:jc w:val="center"/>
              <w:rPr>
                <w:rFonts w:cs="Arial"/>
                <w:szCs w:val="18"/>
              </w:rPr>
            </w:pPr>
          </w:p>
        </w:tc>
        <w:tc>
          <w:tcPr>
            <w:tcW w:w="10211" w:type="dxa"/>
            <w:gridSpan w:val="2"/>
            <w:shd w:val="clear" w:color="000000" w:fill="FFFFFF"/>
            <w:noWrap/>
            <w:vAlign w:val="center"/>
            <w:hideMark/>
          </w:tcPr>
          <w:p w14:paraId="11889CFB" w14:textId="77777777" w:rsidR="00112CE3" w:rsidRPr="00A5045C" w:rsidRDefault="00112CE3" w:rsidP="00112CE3">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xml:space="preserve"> doit s’assurer :</w:t>
            </w:r>
          </w:p>
        </w:tc>
        <w:tc>
          <w:tcPr>
            <w:tcW w:w="1350" w:type="dxa"/>
            <w:gridSpan w:val="2"/>
            <w:vMerge w:val="restart"/>
            <w:shd w:val="clear" w:color="000000" w:fill="FF0000"/>
            <w:vAlign w:val="center"/>
            <w:hideMark/>
          </w:tcPr>
          <w:p w14:paraId="40FAF95D" w14:textId="7B701DDC"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773D36C1" w14:textId="065DC3B1"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665F2987"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4AA56A0E"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46E26F4F" w14:textId="77777777" w:rsidR="00545AF2" w:rsidRPr="00A5045C" w:rsidRDefault="00545AF2" w:rsidP="00545AF2">
            <w:pPr>
              <w:spacing w:before="0" w:beforeAutospacing="0" w:after="0" w:afterAutospacing="0"/>
              <w:jc w:val="both"/>
              <w:rPr>
                <w:rFonts w:cs="Arial"/>
                <w:szCs w:val="18"/>
              </w:rPr>
            </w:pPr>
            <w:r w:rsidRPr="00A5045C">
              <w:rPr>
                <w:rFonts w:cs="Arial"/>
                <w:szCs w:val="18"/>
              </w:rPr>
              <w:t>a) qu’il utilise un système de prévention et de détection de la fraude efficace pour identifier les opérations suspectes avant de les autoriser ;</w:t>
            </w:r>
          </w:p>
        </w:tc>
        <w:tc>
          <w:tcPr>
            <w:tcW w:w="1350" w:type="dxa"/>
            <w:gridSpan w:val="2"/>
            <w:vMerge/>
            <w:vAlign w:val="center"/>
            <w:hideMark/>
          </w:tcPr>
          <w:p w14:paraId="77D4FA78"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4099C674" w14:textId="77777777" w:rsidR="00545AF2" w:rsidRPr="00A5045C" w:rsidRDefault="00545AF2" w:rsidP="00545AF2">
            <w:pPr>
              <w:spacing w:before="0" w:beforeAutospacing="0" w:after="0" w:afterAutospacing="0"/>
              <w:rPr>
                <w:rFonts w:cs="Arial"/>
                <w:szCs w:val="18"/>
              </w:rPr>
            </w:pPr>
          </w:p>
        </w:tc>
      </w:tr>
      <w:tr w:rsidR="00545AF2" w:rsidRPr="001148E2" w14:paraId="05C4FEFB"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46" w:type="dxa"/>
            <w:gridSpan w:val="2"/>
            <w:vMerge/>
            <w:shd w:val="clear" w:color="000000" w:fill="FFFFFF"/>
            <w:noWrap/>
            <w:vAlign w:val="center"/>
            <w:hideMark/>
          </w:tcPr>
          <w:p w14:paraId="6BC914A1"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hideMark/>
          </w:tcPr>
          <w:p w14:paraId="1C29569B" w14:textId="77777777" w:rsidR="00545AF2" w:rsidRPr="00A5045C" w:rsidRDefault="00545AF2" w:rsidP="00545AF2">
            <w:pPr>
              <w:spacing w:before="0" w:beforeAutospacing="0" w:after="0" w:afterAutospacing="0"/>
              <w:jc w:val="both"/>
              <w:rPr>
                <w:rFonts w:cs="Arial"/>
                <w:szCs w:val="18"/>
              </w:rPr>
            </w:pPr>
            <w:r w:rsidRPr="00A5045C">
              <w:rPr>
                <w:rFonts w:cs="Arial"/>
                <w:szCs w:val="18"/>
              </w:rPr>
              <w:t>b) que son système est maintenu à jour (paramétrages, règles, etc.).</w:t>
            </w:r>
          </w:p>
        </w:tc>
        <w:tc>
          <w:tcPr>
            <w:tcW w:w="1350" w:type="dxa"/>
            <w:gridSpan w:val="2"/>
            <w:vMerge/>
            <w:vAlign w:val="center"/>
            <w:hideMark/>
          </w:tcPr>
          <w:p w14:paraId="78EC445C"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1B076546" w14:textId="77777777" w:rsidR="00545AF2" w:rsidRPr="00A5045C" w:rsidRDefault="00545AF2" w:rsidP="00545AF2">
            <w:pPr>
              <w:spacing w:before="0" w:beforeAutospacing="0" w:after="0" w:afterAutospacing="0"/>
              <w:rPr>
                <w:rFonts w:cs="Arial"/>
                <w:szCs w:val="18"/>
              </w:rPr>
            </w:pPr>
          </w:p>
        </w:tc>
      </w:tr>
      <w:tr w:rsidR="00545AF2" w:rsidRPr="001148E2" w14:paraId="677E2A3F"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6" w:type="dxa"/>
            <w:gridSpan w:val="2"/>
            <w:shd w:val="clear" w:color="000000" w:fill="DDEBF7"/>
            <w:noWrap/>
            <w:vAlign w:val="center"/>
            <w:hideMark/>
          </w:tcPr>
          <w:p w14:paraId="7176A0C6" w14:textId="55A4E76E" w:rsidR="00545AF2" w:rsidRPr="00A5045C" w:rsidRDefault="00545AF2" w:rsidP="00545AF2">
            <w:pPr>
              <w:spacing w:before="0" w:beforeAutospacing="0" w:after="0" w:afterAutospacing="0"/>
              <w:jc w:val="center"/>
              <w:rPr>
                <w:rFonts w:cs="Arial"/>
                <w:b/>
                <w:bCs/>
                <w:szCs w:val="18"/>
              </w:rPr>
            </w:pPr>
            <w:r>
              <w:rPr>
                <w:rFonts w:cs="Arial"/>
                <w:b/>
                <w:bCs/>
                <w:szCs w:val="18"/>
              </w:rPr>
              <w:t>9</w:t>
            </w:r>
            <w:r w:rsidRPr="00A5045C">
              <w:rPr>
                <w:rFonts w:cs="Arial"/>
                <w:b/>
                <w:bCs/>
                <w:szCs w:val="18"/>
              </w:rPr>
              <w:t xml:space="preserve">.2 </w:t>
            </w:r>
          </w:p>
        </w:tc>
        <w:tc>
          <w:tcPr>
            <w:tcW w:w="10211" w:type="dxa"/>
            <w:gridSpan w:val="2"/>
            <w:shd w:val="clear" w:color="000000" w:fill="DDEBF7"/>
            <w:noWrap/>
            <w:vAlign w:val="center"/>
            <w:hideMark/>
          </w:tcPr>
          <w:p w14:paraId="6F02B19B"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Le système de détection de la fraude doit être en mesure de prendre en compte toutes les fraudes et tentatives de fraude qui peuvent intervenir depuis l’émission des titres jusqu’à leur utilisation et leur remboursement final.</w:t>
            </w:r>
          </w:p>
        </w:tc>
        <w:tc>
          <w:tcPr>
            <w:tcW w:w="1350" w:type="dxa"/>
            <w:gridSpan w:val="2"/>
            <w:shd w:val="clear" w:color="000000" w:fill="DDEBF7"/>
            <w:vAlign w:val="center"/>
            <w:hideMark/>
          </w:tcPr>
          <w:p w14:paraId="556473E1"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09BE6039"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231A321B"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2"/>
        </w:trPr>
        <w:tc>
          <w:tcPr>
            <w:tcW w:w="646" w:type="dxa"/>
            <w:gridSpan w:val="2"/>
            <w:shd w:val="clear" w:color="000000" w:fill="FFFFFF"/>
            <w:noWrap/>
            <w:vAlign w:val="center"/>
            <w:hideMark/>
          </w:tcPr>
          <w:p w14:paraId="6E278DEC" w14:textId="77777777" w:rsidR="00112CE3" w:rsidRPr="00A5045C" w:rsidRDefault="00112CE3" w:rsidP="00112CE3">
            <w:pPr>
              <w:spacing w:before="0" w:beforeAutospacing="0" w:after="0" w:afterAutospacing="0"/>
              <w:jc w:val="center"/>
              <w:rPr>
                <w:rFonts w:cs="Arial"/>
                <w:szCs w:val="18"/>
              </w:rPr>
            </w:pPr>
            <w:r w:rsidRPr="00A5045C">
              <w:rPr>
                <w:rFonts w:cs="Arial"/>
                <w:szCs w:val="18"/>
              </w:rPr>
              <w:t> </w:t>
            </w:r>
          </w:p>
        </w:tc>
        <w:tc>
          <w:tcPr>
            <w:tcW w:w="10211" w:type="dxa"/>
            <w:gridSpan w:val="2"/>
            <w:shd w:val="clear" w:color="000000" w:fill="FFFFFF"/>
            <w:noWrap/>
            <w:vAlign w:val="center"/>
            <w:hideMark/>
          </w:tcPr>
          <w:p w14:paraId="7E7C8B2B" w14:textId="77777777" w:rsidR="00112CE3" w:rsidRPr="00A5045C" w:rsidRDefault="00112CE3" w:rsidP="00112CE3">
            <w:pPr>
              <w:spacing w:before="0" w:beforeAutospacing="0" w:after="0" w:afterAutospacing="0"/>
              <w:jc w:val="both"/>
              <w:rPr>
                <w:rFonts w:cs="Arial"/>
                <w:szCs w:val="18"/>
              </w:rPr>
            </w:pPr>
            <w:r w:rsidRPr="00A5045C">
              <w:rPr>
                <w:rFonts w:cs="Arial"/>
                <w:szCs w:val="18"/>
              </w:rPr>
              <w:t>Le système de prévention et de détection de la fraude doit prendre en compte les paramètres pertinents, (par exemple la date de la transaction, la localisation du commerçant, l’adresse IP, le montant). Dans le cas où l’émetteur ferait cohabiter titres papiers et titres dématérialisés, celui-ci s’assure notamment que le système de gestion prévoit qu’un titre ne peut être présenté deux fois au paiement ou au remboursement.</w:t>
            </w:r>
          </w:p>
        </w:tc>
        <w:tc>
          <w:tcPr>
            <w:tcW w:w="1350" w:type="dxa"/>
            <w:gridSpan w:val="2"/>
            <w:shd w:val="clear" w:color="000000" w:fill="FF0000"/>
            <w:vAlign w:val="center"/>
            <w:hideMark/>
          </w:tcPr>
          <w:p w14:paraId="0AF3FB51" w14:textId="66965AA2"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shd w:val="clear" w:color="auto" w:fill="FF0000"/>
            <w:vAlign w:val="center"/>
            <w:hideMark/>
          </w:tcPr>
          <w:p w14:paraId="4CFD0E4B" w14:textId="3A14B198" w:rsidR="00112CE3" w:rsidRPr="00A5045C" w:rsidRDefault="00112CE3" w:rsidP="00112CE3">
            <w:pPr>
              <w:spacing w:before="0" w:beforeAutospacing="0" w:after="0" w:afterAutospacing="0"/>
              <w:jc w:val="center"/>
              <w:rPr>
                <w:rFonts w:cs="Arial"/>
                <w:szCs w:val="18"/>
              </w:rPr>
            </w:pPr>
            <w:r>
              <w:rPr>
                <w:rFonts w:cs="Arial"/>
                <w:color w:val="000000"/>
                <w:szCs w:val="18"/>
              </w:rPr>
              <w:t xml:space="preserve">500 caractères </w:t>
            </w:r>
            <w:r w:rsidR="00D271EB" w:rsidRPr="00146FA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545AF2" w:rsidRPr="00A826E0" w14:paraId="436B5D1A"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46" w:type="dxa"/>
            <w:gridSpan w:val="2"/>
            <w:shd w:val="clear" w:color="auto" w:fill="B8CCE4" w:themeFill="accent1" w:themeFillTint="66"/>
            <w:noWrap/>
            <w:vAlign w:val="center"/>
            <w:hideMark/>
          </w:tcPr>
          <w:p w14:paraId="3F010E00" w14:textId="324F4FC9" w:rsidR="00545AF2" w:rsidRPr="00A826E0" w:rsidRDefault="00545AF2" w:rsidP="00545AF2">
            <w:pPr>
              <w:spacing w:before="0" w:beforeAutospacing="0" w:after="0" w:afterAutospacing="0"/>
              <w:jc w:val="center"/>
              <w:rPr>
                <w:rFonts w:cs="Arial"/>
                <w:b/>
                <w:sz w:val="20"/>
                <w:szCs w:val="18"/>
              </w:rPr>
            </w:pPr>
            <w:r>
              <w:rPr>
                <w:rFonts w:cs="Arial"/>
                <w:b/>
                <w:sz w:val="20"/>
                <w:szCs w:val="18"/>
              </w:rPr>
              <w:t>10</w:t>
            </w:r>
            <w:r w:rsidRPr="00A826E0">
              <w:rPr>
                <w:rFonts w:cs="Arial"/>
                <w:b/>
                <w:sz w:val="20"/>
                <w:szCs w:val="18"/>
              </w:rPr>
              <w:t>.</w:t>
            </w:r>
          </w:p>
        </w:tc>
        <w:tc>
          <w:tcPr>
            <w:tcW w:w="10211" w:type="dxa"/>
            <w:gridSpan w:val="2"/>
            <w:shd w:val="clear" w:color="auto" w:fill="B8CCE4" w:themeFill="accent1" w:themeFillTint="66"/>
            <w:noWrap/>
            <w:vAlign w:val="center"/>
            <w:hideMark/>
          </w:tcPr>
          <w:p w14:paraId="2682E7D3" w14:textId="77777777" w:rsidR="00545AF2" w:rsidRPr="00A826E0" w:rsidRDefault="00545AF2" w:rsidP="00545AF2">
            <w:pPr>
              <w:spacing w:before="0" w:beforeAutospacing="0" w:after="0" w:afterAutospacing="0"/>
              <w:rPr>
                <w:rFonts w:cs="Arial"/>
                <w:b/>
                <w:sz w:val="20"/>
                <w:szCs w:val="18"/>
              </w:rPr>
            </w:pPr>
            <w:r w:rsidRPr="00A826E0">
              <w:rPr>
                <w:rFonts w:cs="Arial"/>
                <w:b/>
                <w:sz w:val="20"/>
                <w:szCs w:val="18"/>
              </w:rPr>
              <w:t>Protection des données sensibles de paiement</w:t>
            </w:r>
          </w:p>
        </w:tc>
        <w:tc>
          <w:tcPr>
            <w:tcW w:w="1350" w:type="dxa"/>
            <w:gridSpan w:val="2"/>
            <w:shd w:val="clear" w:color="auto" w:fill="B8CCE4" w:themeFill="accent1" w:themeFillTint="66"/>
            <w:vAlign w:val="center"/>
            <w:hideMark/>
          </w:tcPr>
          <w:p w14:paraId="07044A9E" w14:textId="77777777" w:rsidR="00545AF2" w:rsidRPr="00A826E0" w:rsidRDefault="00545AF2" w:rsidP="00545AF2">
            <w:pPr>
              <w:spacing w:before="0" w:beforeAutospacing="0" w:after="0" w:afterAutospacing="0"/>
              <w:jc w:val="center"/>
              <w:rPr>
                <w:rFonts w:cs="Arial"/>
                <w:b/>
                <w:sz w:val="20"/>
                <w:szCs w:val="18"/>
              </w:rPr>
            </w:pPr>
            <w:r w:rsidRPr="00A826E0">
              <w:rPr>
                <w:rFonts w:cs="Arial"/>
                <w:b/>
                <w:sz w:val="20"/>
                <w:szCs w:val="18"/>
              </w:rPr>
              <w:t> </w:t>
            </w:r>
          </w:p>
        </w:tc>
        <w:tc>
          <w:tcPr>
            <w:tcW w:w="2545" w:type="dxa"/>
            <w:gridSpan w:val="2"/>
            <w:shd w:val="clear" w:color="auto" w:fill="B8CCE4" w:themeFill="accent1" w:themeFillTint="66"/>
            <w:vAlign w:val="center"/>
            <w:hideMark/>
          </w:tcPr>
          <w:p w14:paraId="4AAF5562" w14:textId="77777777" w:rsidR="00545AF2" w:rsidRPr="00A826E0" w:rsidRDefault="00545AF2" w:rsidP="00545AF2">
            <w:pPr>
              <w:spacing w:before="0" w:beforeAutospacing="0" w:after="0" w:afterAutospacing="0"/>
              <w:jc w:val="center"/>
              <w:rPr>
                <w:rFonts w:cs="Arial"/>
                <w:b/>
                <w:sz w:val="20"/>
                <w:szCs w:val="18"/>
              </w:rPr>
            </w:pPr>
            <w:r w:rsidRPr="00A826E0">
              <w:rPr>
                <w:rFonts w:cs="Arial"/>
                <w:b/>
                <w:sz w:val="20"/>
                <w:szCs w:val="18"/>
              </w:rPr>
              <w:t> </w:t>
            </w:r>
          </w:p>
        </w:tc>
      </w:tr>
      <w:tr w:rsidR="00545AF2" w:rsidRPr="001148E2" w14:paraId="5CABF645"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6" w:type="dxa"/>
            <w:gridSpan w:val="2"/>
            <w:shd w:val="clear" w:color="000000" w:fill="DDEBF7"/>
            <w:noWrap/>
            <w:vAlign w:val="center"/>
            <w:hideMark/>
          </w:tcPr>
          <w:p w14:paraId="08DF99BF" w14:textId="27B4B048" w:rsidR="00545AF2" w:rsidRPr="00A5045C" w:rsidRDefault="00545AF2" w:rsidP="00545AF2">
            <w:pPr>
              <w:spacing w:before="0" w:beforeAutospacing="0" w:after="0" w:afterAutospacing="0"/>
              <w:jc w:val="center"/>
              <w:rPr>
                <w:rFonts w:cs="Arial"/>
                <w:b/>
                <w:bCs/>
                <w:szCs w:val="18"/>
              </w:rPr>
            </w:pPr>
            <w:r>
              <w:rPr>
                <w:rFonts w:cs="Arial"/>
                <w:b/>
                <w:bCs/>
                <w:szCs w:val="18"/>
              </w:rPr>
              <w:t>10</w:t>
            </w:r>
            <w:r w:rsidRPr="00A5045C">
              <w:rPr>
                <w:rFonts w:cs="Arial"/>
                <w:b/>
                <w:bCs/>
                <w:szCs w:val="18"/>
              </w:rPr>
              <w:t xml:space="preserve">.1 </w:t>
            </w:r>
          </w:p>
        </w:tc>
        <w:tc>
          <w:tcPr>
            <w:tcW w:w="10211" w:type="dxa"/>
            <w:gridSpan w:val="2"/>
            <w:shd w:val="clear" w:color="000000" w:fill="DDEBF7"/>
            <w:noWrap/>
            <w:vAlign w:val="center"/>
            <w:hideMark/>
          </w:tcPr>
          <w:p w14:paraId="0519EC10"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Toutes les données utilisées à des fins d’identification (identifiant, mot de passe, données personnelles, etc.) ainsi que les interfaces clients doivent être protégées contre l’usurpation et les accès frauduleux (par exemple en chiffrant le stockage et/ou la transmission).</w:t>
            </w:r>
          </w:p>
        </w:tc>
        <w:tc>
          <w:tcPr>
            <w:tcW w:w="1350" w:type="dxa"/>
            <w:gridSpan w:val="2"/>
            <w:shd w:val="clear" w:color="000000" w:fill="DDEBF7"/>
            <w:vAlign w:val="center"/>
            <w:hideMark/>
          </w:tcPr>
          <w:p w14:paraId="4E81D3B7"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65A3EC45"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321F5318"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646" w:type="dxa"/>
            <w:gridSpan w:val="2"/>
            <w:shd w:val="clear" w:color="000000" w:fill="FFFFFF"/>
            <w:noWrap/>
            <w:vAlign w:val="center"/>
            <w:hideMark/>
          </w:tcPr>
          <w:p w14:paraId="4C13A1C9" w14:textId="77777777" w:rsidR="00112CE3" w:rsidRPr="00A5045C" w:rsidRDefault="00112CE3" w:rsidP="00112CE3">
            <w:pPr>
              <w:spacing w:before="0" w:beforeAutospacing="0" w:after="0" w:afterAutospacing="0"/>
              <w:jc w:val="center"/>
              <w:rPr>
                <w:rFonts w:cs="Arial"/>
                <w:szCs w:val="18"/>
              </w:rPr>
            </w:pPr>
            <w:r w:rsidRPr="00A5045C">
              <w:rPr>
                <w:rFonts w:cs="Arial"/>
                <w:szCs w:val="18"/>
              </w:rPr>
              <w:t> </w:t>
            </w:r>
          </w:p>
        </w:tc>
        <w:tc>
          <w:tcPr>
            <w:tcW w:w="10211" w:type="dxa"/>
            <w:gridSpan w:val="2"/>
            <w:shd w:val="clear" w:color="000000" w:fill="FFFFFF"/>
            <w:noWrap/>
            <w:vAlign w:val="center"/>
            <w:hideMark/>
          </w:tcPr>
          <w:p w14:paraId="28328B5D" w14:textId="77777777" w:rsidR="00112CE3" w:rsidRPr="00A5045C" w:rsidRDefault="00112CE3" w:rsidP="00112CE3">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xml:space="preserve"> a identifié les données sensibles et a mis en place des mesures de sécurité dédiées pour lutter contre le vol, l’accès ou la modification non autorisée de celles-ci. Ces mesures s’appliquent aussi bien au système d’information interne à l’émetteur qu’aux environnements mis à disposition pour les partenaires (financeurs, accepteurs, entreprises, etc.) et pour les utilisateurs (extranets de consultation des soldes, etc.).</w:t>
            </w:r>
          </w:p>
        </w:tc>
        <w:tc>
          <w:tcPr>
            <w:tcW w:w="1350" w:type="dxa"/>
            <w:gridSpan w:val="2"/>
            <w:shd w:val="clear" w:color="000000" w:fill="FF0000"/>
            <w:vAlign w:val="center"/>
            <w:hideMark/>
          </w:tcPr>
          <w:p w14:paraId="3619457A" w14:textId="0481C737"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shd w:val="clear" w:color="auto" w:fill="FF0000"/>
            <w:vAlign w:val="center"/>
            <w:hideMark/>
          </w:tcPr>
          <w:p w14:paraId="028B393C" w14:textId="1575C7B7" w:rsidR="00112CE3" w:rsidRPr="00A5045C" w:rsidRDefault="00112CE3" w:rsidP="00112CE3">
            <w:pPr>
              <w:spacing w:before="0" w:beforeAutospacing="0" w:after="0" w:afterAutospacing="0"/>
              <w:jc w:val="center"/>
              <w:rPr>
                <w:rFonts w:cs="Arial"/>
                <w:szCs w:val="18"/>
              </w:rPr>
            </w:pPr>
            <w:r>
              <w:rPr>
                <w:rFonts w:cs="Arial"/>
                <w:color w:val="000000"/>
                <w:szCs w:val="18"/>
              </w:rPr>
              <w:t xml:space="preserve">500 caractères </w:t>
            </w:r>
            <w:r w:rsidR="00D271EB" w:rsidRPr="00146FA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545AF2" w:rsidRPr="001148E2" w14:paraId="2B5E5203"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646" w:type="dxa"/>
            <w:gridSpan w:val="2"/>
            <w:shd w:val="clear" w:color="000000" w:fill="DDEBF7"/>
            <w:noWrap/>
            <w:vAlign w:val="center"/>
            <w:hideMark/>
          </w:tcPr>
          <w:p w14:paraId="76C37E35" w14:textId="59DB80F6" w:rsidR="00545AF2" w:rsidRPr="00A5045C" w:rsidRDefault="00545AF2" w:rsidP="00545AF2">
            <w:pPr>
              <w:spacing w:before="0" w:beforeAutospacing="0" w:after="0" w:afterAutospacing="0"/>
              <w:jc w:val="center"/>
              <w:rPr>
                <w:rFonts w:cs="Arial"/>
                <w:b/>
                <w:bCs/>
                <w:szCs w:val="18"/>
              </w:rPr>
            </w:pPr>
            <w:r>
              <w:rPr>
                <w:rFonts w:cs="Arial"/>
                <w:b/>
                <w:bCs/>
                <w:szCs w:val="18"/>
              </w:rPr>
              <w:t>10</w:t>
            </w:r>
            <w:r w:rsidRPr="00A5045C">
              <w:rPr>
                <w:rFonts w:cs="Arial"/>
                <w:b/>
                <w:bCs/>
                <w:szCs w:val="18"/>
              </w:rPr>
              <w:t xml:space="preserve">.2 </w:t>
            </w:r>
          </w:p>
        </w:tc>
        <w:tc>
          <w:tcPr>
            <w:tcW w:w="10211" w:type="dxa"/>
            <w:gridSpan w:val="2"/>
            <w:shd w:val="clear" w:color="000000" w:fill="DDEBF7"/>
            <w:noWrap/>
            <w:vAlign w:val="center"/>
            <w:hideMark/>
          </w:tcPr>
          <w:p w14:paraId="44CDBAD4"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L’émetteur doit s’assurer de l’intégrité et de la confidentialité des données transmises entre l’accepteur et l’acquéreur par exemple par la mise en place d’une liaison chiffrée.</w:t>
            </w:r>
          </w:p>
        </w:tc>
        <w:tc>
          <w:tcPr>
            <w:tcW w:w="1350" w:type="dxa"/>
            <w:gridSpan w:val="2"/>
            <w:shd w:val="clear" w:color="000000" w:fill="DDEBF7"/>
            <w:vAlign w:val="center"/>
            <w:hideMark/>
          </w:tcPr>
          <w:p w14:paraId="23852F5C"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477695D1"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013741EA"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646" w:type="dxa"/>
            <w:gridSpan w:val="2"/>
            <w:shd w:val="clear" w:color="000000" w:fill="FFFFFF"/>
            <w:noWrap/>
            <w:vAlign w:val="center"/>
            <w:hideMark/>
          </w:tcPr>
          <w:p w14:paraId="5C7D03D2" w14:textId="77777777" w:rsidR="00112CE3" w:rsidRPr="00A5045C" w:rsidRDefault="00112CE3" w:rsidP="00112CE3">
            <w:pPr>
              <w:spacing w:before="0" w:beforeAutospacing="0" w:after="0" w:afterAutospacing="0"/>
              <w:jc w:val="center"/>
              <w:rPr>
                <w:rFonts w:cs="Arial"/>
                <w:szCs w:val="18"/>
              </w:rPr>
            </w:pPr>
            <w:r w:rsidRPr="00A5045C">
              <w:rPr>
                <w:rFonts w:cs="Arial"/>
                <w:szCs w:val="18"/>
              </w:rPr>
              <w:lastRenderedPageBreak/>
              <w:t> </w:t>
            </w:r>
          </w:p>
        </w:tc>
        <w:tc>
          <w:tcPr>
            <w:tcW w:w="10211" w:type="dxa"/>
            <w:gridSpan w:val="2"/>
            <w:shd w:val="clear" w:color="000000" w:fill="FFFFFF"/>
            <w:noWrap/>
            <w:vAlign w:val="center"/>
            <w:hideMark/>
          </w:tcPr>
          <w:p w14:paraId="43087B1C" w14:textId="77777777" w:rsidR="00112CE3" w:rsidRPr="00A5045C" w:rsidRDefault="00112CE3" w:rsidP="00112CE3">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xml:space="preserve"> doit s’assurer que les données échangées de bout-en-bout avec l’accepteur ou l’acquéreur sont protégées par chiffrement et que leur intégrité est vérifiée.</w:t>
            </w:r>
          </w:p>
        </w:tc>
        <w:tc>
          <w:tcPr>
            <w:tcW w:w="1350" w:type="dxa"/>
            <w:gridSpan w:val="2"/>
            <w:shd w:val="clear" w:color="000000" w:fill="FF0000"/>
            <w:vAlign w:val="center"/>
            <w:hideMark/>
          </w:tcPr>
          <w:p w14:paraId="3767C99F" w14:textId="17D1FAF9"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shd w:val="clear" w:color="auto" w:fill="FF0000"/>
            <w:vAlign w:val="center"/>
            <w:hideMark/>
          </w:tcPr>
          <w:p w14:paraId="23AEBA8C" w14:textId="3D4CE9EB" w:rsidR="00112CE3" w:rsidRPr="00A5045C" w:rsidRDefault="00112CE3" w:rsidP="00112CE3">
            <w:pPr>
              <w:spacing w:before="0" w:beforeAutospacing="0" w:after="0" w:afterAutospacing="0"/>
              <w:jc w:val="center"/>
              <w:rPr>
                <w:rFonts w:cs="Arial"/>
                <w:szCs w:val="18"/>
              </w:rPr>
            </w:pPr>
            <w:r>
              <w:rPr>
                <w:rFonts w:cs="Arial"/>
                <w:color w:val="000000"/>
                <w:szCs w:val="18"/>
              </w:rPr>
              <w:t xml:space="preserve">500 caractères </w:t>
            </w:r>
            <w:r w:rsidR="00D271EB" w:rsidRPr="00146FA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545AF2" w:rsidRPr="001148E2" w14:paraId="79AE72ED"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6" w:type="dxa"/>
            <w:gridSpan w:val="2"/>
            <w:shd w:val="clear" w:color="000000" w:fill="DDEBF7"/>
            <w:noWrap/>
            <w:vAlign w:val="center"/>
            <w:hideMark/>
          </w:tcPr>
          <w:p w14:paraId="3FE85233" w14:textId="54EF5028" w:rsidR="00545AF2" w:rsidRPr="00A5045C" w:rsidRDefault="00545AF2" w:rsidP="00545AF2">
            <w:pPr>
              <w:spacing w:before="0" w:beforeAutospacing="0" w:after="0" w:afterAutospacing="0"/>
              <w:jc w:val="center"/>
              <w:rPr>
                <w:rFonts w:cs="Arial"/>
                <w:b/>
                <w:bCs/>
                <w:szCs w:val="18"/>
              </w:rPr>
            </w:pPr>
            <w:r>
              <w:rPr>
                <w:rFonts w:cs="Arial"/>
                <w:b/>
                <w:bCs/>
                <w:szCs w:val="18"/>
              </w:rPr>
              <w:t>10</w:t>
            </w:r>
            <w:r w:rsidRPr="00A5045C">
              <w:rPr>
                <w:rFonts w:cs="Arial"/>
                <w:b/>
                <w:bCs/>
                <w:szCs w:val="18"/>
              </w:rPr>
              <w:t xml:space="preserve">.3 </w:t>
            </w:r>
          </w:p>
        </w:tc>
        <w:tc>
          <w:tcPr>
            <w:tcW w:w="10211" w:type="dxa"/>
            <w:gridSpan w:val="2"/>
            <w:shd w:val="clear" w:color="000000" w:fill="DDEBF7"/>
            <w:noWrap/>
            <w:vAlign w:val="center"/>
            <w:hideMark/>
          </w:tcPr>
          <w:p w14:paraId="4EA63E1A"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 xml:space="preserve">L’émetteur  s’assure que les dispositifs d’acceptation de leurs </w:t>
            </w:r>
            <w:r>
              <w:rPr>
                <w:rFonts w:cs="Arial"/>
                <w:b/>
                <w:bCs/>
                <w:szCs w:val="18"/>
              </w:rPr>
              <w:t>TSPD/IPS</w:t>
            </w:r>
            <w:r w:rsidRPr="00A5045C">
              <w:rPr>
                <w:rFonts w:cs="Arial"/>
                <w:b/>
                <w:bCs/>
                <w:szCs w:val="18"/>
              </w:rPr>
              <w:t xml:space="preserve"> garantissent l’intégrité de la transaction et qu’ils sont régulièrement évalués sur leur résistance aux tentatives d’intrusion et de compromission.</w:t>
            </w:r>
          </w:p>
        </w:tc>
        <w:tc>
          <w:tcPr>
            <w:tcW w:w="1350" w:type="dxa"/>
            <w:gridSpan w:val="2"/>
            <w:shd w:val="clear" w:color="000000" w:fill="DDEBF7"/>
            <w:vAlign w:val="center"/>
            <w:hideMark/>
          </w:tcPr>
          <w:p w14:paraId="5AA94D00"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2BFBE5DF"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124F46AE"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46" w:type="dxa"/>
            <w:gridSpan w:val="2"/>
            <w:vMerge w:val="restart"/>
            <w:shd w:val="clear" w:color="000000" w:fill="FFFFFF"/>
            <w:noWrap/>
            <w:vAlign w:val="center"/>
          </w:tcPr>
          <w:p w14:paraId="347BE2E9" w14:textId="77777777" w:rsidR="00112CE3" w:rsidRPr="00A5045C" w:rsidRDefault="00112CE3" w:rsidP="00112CE3">
            <w:pPr>
              <w:spacing w:before="0" w:after="0"/>
              <w:jc w:val="center"/>
              <w:rPr>
                <w:rFonts w:cs="Arial"/>
                <w:szCs w:val="18"/>
              </w:rPr>
            </w:pPr>
          </w:p>
        </w:tc>
        <w:tc>
          <w:tcPr>
            <w:tcW w:w="10211" w:type="dxa"/>
            <w:gridSpan w:val="2"/>
            <w:shd w:val="clear" w:color="000000" w:fill="FFFFFF"/>
            <w:noWrap/>
            <w:vAlign w:val="center"/>
            <w:hideMark/>
          </w:tcPr>
          <w:p w14:paraId="0FBCE561" w14:textId="77777777" w:rsidR="00112CE3" w:rsidRPr="00A5045C" w:rsidRDefault="00112CE3" w:rsidP="00112CE3">
            <w:pPr>
              <w:spacing w:before="0" w:beforeAutospacing="0" w:after="0" w:afterAutospacing="0"/>
              <w:jc w:val="both"/>
              <w:rPr>
                <w:rFonts w:cs="Arial"/>
                <w:szCs w:val="18"/>
              </w:rPr>
            </w:pPr>
            <w:r w:rsidRPr="00A5045C">
              <w:rPr>
                <w:rFonts w:cs="Arial"/>
                <w:szCs w:val="18"/>
              </w:rPr>
              <w:t xml:space="preserve">L’émetteur doit s’assurer du niveau de sécurité des dispositifs d’acceptation du </w:t>
            </w:r>
            <w:r>
              <w:rPr>
                <w:rFonts w:cs="Arial"/>
                <w:szCs w:val="18"/>
              </w:rPr>
              <w:t>TSPD/IPS</w:t>
            </w:r>
            <w:r w:rsidRPr="00A5045C">
              <w:rPr>
                <w:rFonts w:cs="Arial"/>
                <w:szCs w:val="18"/>
              </w:rPr>
              <w:t>, en particulier par :</w:t>
            </w:r>
          </w:p>
        </w:tc>
        <w:tc>
          <w:tcPr>
            <w:tcW w:w="1350" w:type="dxa"/>
            <w:gridSpan w:val="2"/>
            <w:vMerge w:val="restart"/>
            <w:shd w:val="clear" w:color="000000" w:fill="FF0000"/>
            <w:vAlign w:val="center"/>
            <w:hideMark/>
          </w:tcPr>
          <w:p w14:paraId="5CB880D2" w14:textId="3F821225"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2D32D62D" w14:textId="222FE3EC"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4E09E5CF"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06573BE2"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5BA10931" w14:textId="77777777" w:rsidR="00545AF2" w:rsidRPr="00A5045C" w:rsidRDefault="00545AF2" w:rsidP="00545AF2">
            <w:pPr>
              <w:spacing w:before="0" w:beforeAutospacing="0" w:after="0" w:afterAutospacing="0"/>
              <w:jc w:val="both"/>
              <w:rPr>
                <w:rFonts w:cs="Arial"/>
                <w:szCs w:val="18"/>
              </w:rPr>
            </w:pPr>
            <w:r w:rsidRPr="00A5045C">
              <w:rPr>
                <w:rFonts w:cs="Arial"/>
                <w:szCs w:val="18"/>
              </w:rPr>
              <w:t>a) une évaluation régulière de la robustesse des dispositifs d’acceptation aux différentes typologies de tentatives de compromission ;</w:t>
            </w:r>
          </w:p>
        </w:tc>
        <w:tc>
          <w:tcPr>
            <w:tcW w:w="1350" w:type="dxa"/>
            <w:gridSpan w:val="2"/>
            <w:vMerge/>
            <w:vAlign w:val="center"/>
            <w:hideMark/>
          </w:tcPr>
          <w:p w14:paraId="4BEA9091"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00B8D682" w14:textId="77777777" w:rsidR="00545AF2" w:rsidRPr="00A5045C" w:rsidRDefault="00545AF2" w:rsidP="00545AF2">
            <w:pPr>
              <w:spacing w:before="0" w:beforeAutospacing="0" w:after="0" w:afterAutospacing="0"/>
              <w:rPr>
                <w:rFonts w:cs="Arial"/>
                <w:szCs w:val="18"/>
              </w:rPr>
            </w:pPr>
          </w:p>
        </w:tc>
      </w:tr>
      <w:tr w:rsidR="00545AF2" w:rsidRPr="001148E2" w14:paraId="4D23DF01"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6CC212F6"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6C5E47B9" w14:textId="77777777" w:rsidR="00545AF2" w:rsidRPr="00A5045C" w:rsidRDefault="00545AF2" w:rsidP="00545AF2">
            <w:pPr>
              <w:spacing w:before="0" w:beforeAutospacing="0" w:after="0" w:afterAutospacing="0"/>
              <w:jc w:val="both"/>
              <w:rPr>
                <w:rFonts w:cs="Arial"/>
                <w:szCs w:val="18"/>
              </w:rPr>
            </w:pPr>
            <w:r w:rsidRPr="00A5045C">
              <w:rPr>
                <w:rFonts w:cs="Arial"/>
                <w:szCs w:val="18"/>
              </w:rPr>
              <w:t>b) la surveillance d’indicateurs dont le but est de détecter les comportements susceptibles d’être liés à une fraude sur le dispositif d’acceptation ;</w:t>
            </w:r>
          </w:p>
        </w:tc>
        <w:tc>
          <w:tcPr>
            <w:tcW w:w="1350" w:type="dxa"/>
            <w:gridSpan w:val="2"/>
            <w:vMerge/>
            <w:vAlign w:val="center"/>
            <w:hideMark/>
          </w:tcPr>
          <w:p w14:paraId="77F274D2"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2B789CCB" w14:textId="77777777" w:rsidR="00545AF2" w:rsidRPr="00A5045C" w:rsidRDefault="00545AF2" w:rsidP="00545AF2">
            <w:pPr>
              <w:spacing w:before="0" w:beforeAutospacing="0" w:after="0" w:afterAutospacing="0"/>
              <w:rPr>
                <w:rFonts w:cs="Arial"/>
                <w:szCs w:val="18"/>
              </w:rPr>
            </w:pPr>
          </w:p>
        </w:tc>
      </w:tr>
      <w:tr w:rsidR="00545AF2" w:rsidRPr="001148E2" w14:paraId="42365DF7"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742EF93C"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hideMark/>
          </w:tcPr>
          <w:p w14:paraId="491C64C3" w14:textId="77777777" w:rsidR="00545AF2" w:rsidRPr="00A5045C" w:rsidRDefault="00545AF2" w:rsidP="00545AF2">
            <w:pPr>
              <w:spacing w:before="0" w:beforeAutospacing="0" w:after="0" w:afterAutospacing="0"/>
              <w:jc w:val="both"/>
              <w:rPr>
                <w:rFonts w:cs="Arial"/>
                <w:szCs w:val="18"/>
              </w:rPr>
            </w:pPr>
            <w:r w:rsidRPr="00A5045C">
              <w:rPr>
                <w:rFonts w:cs="Arial"/>
                <w:szCs w:val="18"/>
              </w:rPr>
              <w:t>c) la capacité à désactiver le parc de dispositifs d’acceptation ainsi que la faculté de déploiement rapide de mises à jour logicielle et/ou  matérielle.</w:t>
            </w:r>
          </w:p>
        </w:tc>
        <w:tc>
          <w:tcPr>
            <w:tcW w:w="1350" w:type="dxa"/>
            <w:gridSpan w:val="2"/>
            <w:vMerge/>
            <w:vAlign w:val="center"/>
            <w:hideMark/>
          </w:tcPr>
          <w:p w14:paraId="61527151"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32D22085" w14:textId="77777777" w:rsidR="00545AF2" w:rsidRPr="00A5045C" w:rsidRDefault="00545AF2" w:rsidP="00545AF2">
            <w:pPr>
              <w:spacing w:before="0" w:beforeAutospacing="0" w:after="0" w:afterAutospacing="0"/>
              <w:rPr>
                <w:rFonts w:cs="Arial"/>
                <w:szCs w:val="18"/>
              </w:rPr>
            </w:pPr>
          </w:p>
        </w:tc>
      </w:tr>
      <w:tr w:rsidR="00545AF2" w:rsidRPr="001148E2" w14:paraId="1B1436C3"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646" w:type="dxa"/>
            <w:gridSpan w:val="2"/>
            <w:shd w:val="clear" w:color="000000" w:fill="DDEBF7"/>
            <w:noWrap/>
            <w:vAlign w:val="center"/>
            <w:hideMark/>
          </w:tcPr>
          <w:p w14:paraId="3ABFA9CB" w14:textId="7BE2F2DB" w:rsidR="00545AF2" w:rsidRPr="00A5045C" w:rsidRDefault="00545AF2" w:rsidP="00545AF2">
            <w:pPr>
              <w:spacing w:before="0" w:beforeAutospacing="0" w:after="0" w:afterAutospacing="0"/>
              <w:jc w:val="center"/>
              <w:rPr>
                <w:rFonts w:cs="Arial"/>
                <w:b/>
                <w:bCs/>
                <w:szCs w:val="18"/>
              </w:rPr>
            </w:pPr>
            <w:r>
              <w:rPr>
                <w:rFonts w:cs="Arial"/>
                <w:b/>
                <w:bCs/>
                <w:szCs w:val="18"/>
              </w:rPr>
              <w:t>10</w:t>
            </w:r>
            <w:r w:rsidRPr="00A5045C">
              <w:rPr>
                <w:rFonts w:cs="Arial"/>
                <w:b/>
                <w:bCs/>
                <w:szCs w:val="18"/>
              </w:rPr>
              <w:t xml:space="preserve">.4 </w:t>
            </w:r>
          </w:p>
        </w:tc>
        <w:tc>
          <w:tcPr>
            <w:tcW w:w="10211" w:type="dxa"/>
            <w:gridSpan w:val="2"/>
            <w:shd w:val="clear" w:color="000000" w:fill="DDEBF7"/>
            <w:noWrap/>
            <w:vAlign w:val="center"/>
            <w:hideMark/>
          </w:tcPr>
          <w:p w14:paraId="65E19B26"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L’émetteur doit s’assurer que les accepteurs ne stockent pas de donnée sensible, ou dans le cas contraire que ces derniers ont mis en place un niveau de protection des données approprié (par exemple au moyen d’une procédure de chiffrement). En cas de non-respect de ces obligations, l’émetteur peut suspendre le contrat avec l’accepteur.</w:t>
            </w:r>
          </w:p>
        </w:tc>
        <w:tc>
          <w:tcPr>
            <w:tcW w:w="1350" w:type="dxa"/>
            <w:gridSpan w:val="2"/>
            <w:shd w:val="clear" w:color="000000" w:fill="DDEBF7"/>
            <w:vAlign w:val="center"/>
            <w:hideMark/>
          </w:tcPr>
          <w:p w14:paraId="1B09E8CF"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6635052B"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464AB268"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2"/>
        </w:trPr>
        <w:tc>
          <w:tcPr>
            <w:tcW w:w="646" w:type="dxa"/>
            <w:gridSpan w:val="2"/>
            <w:vMerge w:val="restart"/>
            <w:shd w:val="clear" w:color="000000" w:fill="FFFFFF"/>
            <w:noWrap/>
            <w:vAlign w:val="center"/>
          </w:tcPr>
          <w:p w14:paraId="71859F25" w14:textId="77777777" w:rsidR="00112CE3" w:rsidRPr="00A5045C" w:rsidRDefault="00112CE3" w:rsidP="00112CE3">
            <w:pPr>
              <w:spacing w:before="0" w:after="0"/>
              <w:jc w:val="center"/>
              <w:rPr>
                <w:rFonts w:cs="Arial"/>
                <w:szCs w:val="18"/>
              </w:rPr>
            </w:pPr>
          </w:p>
        </w:tc>
        <w:tc>
          <w:tcPr>
            <w:tcW w:w="10211" w:type="dxa"/>
            <w:gridSpan w:val="2"/>
            <w:shd w:val="clear" w:color="000000" w:fill="FFFFFF"/>
            <w:noWrap/>
            <w:vAlign w:val="center"/>
            <w:hideMark/>
          </w:tcPr>
          <w:p w14:paraId="2E373325" w14:textId="4C8BC414" w:rsidR="00112CE3" w:rsidRPr="00A5045C" w:rsidRDefault="00112CE3" w:rsidP="00112CE3">
            <w:pPr>
              <w:spacing w:before="0" w:beforeAutospacing="0" w:after="0" w:afterAutospacing="0"/>
              <w:jc w:val="both"/>
              <w:rPr>
                <w:rFonts w:cs="Arial"/>
                <w:szCs w:val="18"/>
              </w:rPr>
            </w:pPr>
            <w:r>
              <w:rPr>
                <w:rFonts w:cs="Arial"/>
                <w:szCs w:val="18"/>
              </w:rPr>
              <w:t>a)</w:t>
            </w:r>
            <w:r w:rsidRPr="00A5045C">
              <w:rPr>
                <w:rFonts w:cs="Arial"/>
                <w:szCs w:val="18"/>
              </w:rPr>
              <w:t xml:space="preserve"> L’émetteur de </w:t>
            </w:r>
            <w:r>
              <w:rPr>
                <w:rFonts w:cs="Arial"/>
                <w:szCs w:val="18"/>
              </w:rPr>
              <w:t>TSPD/IPS</w:t>
            </w:r>
            <w:r w:rsidRPr="00A5045C">
              <w:rPr>
                <w:rFonts w:cs="Arial"/>
                <w:szCs w:val="18"/>
              </w:rPr>
              <w:t xml:space="preserve"> doit encourager les commerçants à ne pas stocker de données sensibles. Dans la mesure où il est légitime qu’ils puissent avoir accès à certaines de ces données a posteriori, l’émetteur de </w:t>
            </w:r>
            <w:r>
              <w:rPr>
                <w:rFonts w:cs="Arial"/>
                <w:szCs w:val="18"/>
              </w:rPr>
              <w:t>TSPD/IPS</w:t>
            </w:r>
            <w:r w:rsidRPr="00A5045C">
              <w:rPr>
                <w:rFonts w:cs="Arial"/>
                <w:szCs w:val="18"/>
              </w:rPr>
              <w:t xml:space="preserve"> doit proposer les services adéquats pour que les commerçants n’aient pas à les stocker ou exiger contractuellement, dans le cas contraire, qu’elles soient correctement protégées.</w:t>
            </w:r>
          </w:p>
        </w:tc>
        <w:tc>
          <w:tcPr>
            <w:tcW w:w="1350" w:type="dxa"/>
            <w:gridSpan w:val="2"/>
            <w:vMerge w:val="restart"/>
            <w:shd w:val="clear" w:color="000000" w:fill="FF0000"/>
            <w:vAlign w:val="center"/>
            <w:hideMark/>
          </w:tcPr>
          <w:p w14:paraId="16B1F114" w14:textId="64632EDE"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437A4F8D" w14:textId="3A4A5889" w:rsidR="00112CE3" w:rsidRPr="00A5045C" w:rsidRDefault="00112CE3" w:rsidP="00112CE3">
            <w:pPr>
              <w:spacing w:before="0" w:beforeAutospacing="0" w:after="0" w:afterAutospacing="0"/>
              <w:jc w:val="center"/>
              <w:rPr>
                <w:rFonts w:cs="Arial"/>
                <w:szCs w:val="18"/>
              </w:rPr>
            </w:pPr>
            <w:r>
              <w:rPr>
                <w:rFonts w:cs="Arial"/>
                <w:color w:val="000000"/>
                <w:szCs w:val="18"/>
              </w:rPr>
              <w:t>500 caractères</w:t>
            </w:r>
            <w:r w:rsidR="00D271EB" w:rsidRPr="00146FA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0E5E0265"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646" w:type="dxa"/>
            <w:gridSpan w:val="2"/>
            <w:vMerge/>
            <w:shd w:val="clear" w:color="000000" w:fill="FFFFFF"/>
            <w:noWrap/>
            <w:vAlign w:val="center"/>
            <w:hideMark/>
          </w:tcPr>
          <w:p w14:paraId="3AAB25FC"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hideMark/>
          </w:tcPr>
          <w:p w14:paraId="52DD0518" w14:textId="28EE0B4F" w:rsidR="00545AF2" w:rsidRPr="00A5045C" w:rsidRDefault="00545AF2" w:rsidP="00545AF2">
            <w:pPr>
              <w:spacing w:before="0" w:beforeAutospacing="0" w:after="0" w:afterAutospacing="0"/>
              <w:jc w:val="both"/>
              <w:rPr>
                <w:rFonts w:cs="Arial"/>
                <w:szCs w:val="18"/>
              </w:rPr>
            </w:pPr>
            <w:r>
              <w:rPr>
                <w:rFonts w:cs="Arial"/>
                <w:szCs w:val="18"/>
              </w:rPr>
              <w:t>b)</w:t>
            </w:r>
            <w:r w:rsidRPr="00A5045C">
              <w:rPr>
                <w:rFonts w:cs="Arial"/>
                <w:szCs w:val="18"/>
              </w:rPr>
              <w:t xml:space="preserve"> L’émetteur de </w:t>
            </w:r>
            <w:r>
              <w:rPr>
                <w:rFonts w:cs="Arial"/>
                <w:szCs w:val="18"/>
              </w:rPr>
              <w:t>TSPD/IPS</w:t>
            </w:r>
            <w:r w:rsidRPr="00A5045C">
              <w:rPr>
                <w:rFonts w:cs="Arial"/>
                <w:szCs w:val="18"/>
              </w:rPr>
              <w:t xml:space="preserve"> doit s’assurer régulièrement du respect de ces bonnes pratiques par les commerçants et prendre les mesures nécessaires pour inciter le commerçant à les respecter. L’émetteur de </w:t>
            </w:r>
            <w:r>
              <w:rPr>
                <w:rFonts w:cs="Arial"/>
                <w:szCs w:val="18"/>
              </w:rPr>
              <w:t>TSPD/IPS</w:t>
            </w:r>
            <w:r w:rsidRPr="00A5045C">
              <w:rPr>
                <w:rFonts w:cs="Arial"/>
                <w:szCs w:val="18"/>
              </w:rPr>
              <w:t xml:space="preserve"> pourra mettre fin au contrat en cas de non-conformité.</w:t>
            </w:r>
          </w:p>
        </w:tc>
        <w:tc>
          <w:tcPr>
            <w:tcW w:w="1350" w:type="dxa"/>
            <w:gridSpan w:val="2"/>
            <w:vMerge/>
            <w:vAlign w:val="center"/>
            <w:hideMark/>
          </w:tcPr>
          <w:p w14:paraId="04194DAD"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59C5A529" w14:textId="77777777" w:rsidR="00545AF2" w:rsidRPr="00A5045C" w:rsidRDefault="00545AF2" w:rsidP="00545AF2">
            <w:pPr>
              <w:spacing w:before="0" w:beforeAutospacing="0" w:after="0" w:afterAutospacing="0"/>
              <w:rPr>
                <w:rFonts w:cs="Arial"/>
                <w:szCs w:val="18"/>
              </w:rPr>
            </w:pPr>
          </w:p>
        </w:tc>
      </w:tr>
      <w:tr w:rsidR="00545AF2" w:rsidRPr="00A826E0" w14:paraId="1E7BCCC3" w14:textId="77777777" w:rsidTr="00733123">
        <w:trPr>
          <w:trHeight w:val="276"/>
        </w:trPr>
        <w:tc>
          <w:tcPr>
            <w:tcW w:w="6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478E90C4" w14:textId="4F349995" w:rsidR="00545AF2" w:rsidRPr="00A826E0" w:rsidRDefault="00545AF2" w:rsidP="00545AF2">
            <w:pPr>
              <w:spacing w:before="0" w:beforeAutospacing="0" w:after="0" w:afterAutospacing="0"/>
              <w:jc w:val="both"/>
              <w:rPr>
                <w:rFonts w:cs="Arial"/>
                <w:b/>
                <w:sz w:val="20"/>
              </w:rPr>
            </w:pPr>
            <w:r w:rsidRPr="00A826E0">
              <w:rPr>
                <w:rFonts w:cs="Arial"/>
                <w:b/>
                <w:sz w:val="20"/>
              </w:rPr>
              <w:t>1</w:t>
            </w:r>
            <w:r>
              <w:rPr>
                <w:rFonts w:cs="Arial"/>
                <w:b/>
                <w:sz w:val="20"/>
              </w:rPr>
              <w:t>1</w:t>
            </w:r>
            <w:r w:rsidRPr="00A826E0">
              <w:rPr>
                <w:rFonts w:cs="Arial"/>
                <w:b/>
                <w:sz w:val="20"/>
              </w:rPr>
              <w:t>.</w:t>
            </w:r>
          </w:p>
        </w:tc>
        <w:tc>
          <w:tcPr>
            <w:tcW w:w="14106"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43549242" w14:textId="77777777" w:rsidR="00545AF2" w:rsidRPr="00A826E0" w:rsidRDefault="00545AF2" w:rsidP="00545AF2">
            <w:pPr>
              <w:spacing w:before="0" w:beforeAutospacing="0" w:after="0" w:afterAutospacing="0"/>
              <w:rPr>
                <w:rFonts w:cs="Arial"/>
                <w:b/>
                <w:sz w:val="20"/>
              </w:rPr>
            </w:pPr>
            <w:r w:rsidRPr="00A826E0">
              <w:rPr>
                <w:rFonts w:cs="Arial"/>
                <w:b/>
                <w:sz w:val="20"/>
              </w:rPr>
              <w:t>Sensibilisation de l’utilisateur aux règles de sécurité</w:t>
            </w:r>
          </w:p>
        </w:tc>
      </w:tr>
      <w:tr w:rsidR="00545AF2" w:rsidRPr="001148E2" w14:paraId="081CAD66" w14:textId="77777777" w:rsidTr="00733123">
        <w:trPr>
          <w:trHeight w:val="168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E6B2611" w14:textId="2FF4D8B3" w:rsidR="00545AF2" w:rsidRPr="00A5045C" w:rsidRDefault="00545AF2" w:rsidP="00545AF2">
            <w:pPr>
              <w:spacing w:before="0" w:beforeAutospacing="0" w:after="0" w:afterAutospacing="0"/>
              <w:jc w:val="center"/>
              <w:rPr>
                <w:rFonts w:cs="Arial"/>
                <w:b/>
                <w:bCs/>
                <w:szCs w:val="18"/>
              </w:rPr>
            </w:pPr>
            <w:r w:rsidRPr="00A5045C">
              <w:rPr>
                <w:rFonts w:cs="Arial"/>
                <w:b/>
                <w:bCs/>
                <w:szCs w:val="18"/>
              </w:rPr>
              <w:t>1</w:t>
            </w:r>
            <w:r>
              <w:rPr>
                <w:rFonts w:cs="Arial"/>
                <w:b/>
                <w:bCs/>
                <w:szCs w:val="18"/>
              </w:rPr>
              <w:t>1</w:t>
            </w:r>
            <w:r w:rsidRPr="00A5045C">
              <w:rPr>
                <w:rFonts w:cs="Arial"/>
                <w:b/>
                <w:bCs/>
                <w:szCs w:val="18"/>
              </w:rPr>
              <w:t xml:space="preserve">.1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3FA009C1" w14:textId="0D21A540" w:rsidR="00545AF2" w:rsidRPr="00A5045C" w:rsidRDefault="00545AF2" w:rsidP="00545AF2">
            <w:pPr>
              <w:spacing w:before="0" w:beforeAutospacing="0" w:after="0" w:afterAutospacing="0"/>
              <w:rPr>
                <w:rFonts w:cs="Arial"/>
                <w:b/>
                <w:bCs/>
                <w:szCs w:val="18"/>
              </w:rPr>
            </w:pPr>
            <w:r w:rsidRPr="00A5045C">
              <w:rPr>
                <w:rFonts w:cs="Arial"/>
                <w:b/>
                <w:bCs/>
                <w:szCs w:val="18"/>
              </w:rPr>
              <w:t xml:space="preserve">L’émetteur doit veiller à la sensibilisation des utilisateurs aux règles de sécurité des </w:t>
            </w:r>
            <w:r>
              <w:rPr>
                <w:rFonts w:cs="Arial"/>
                <w:b/>
                <w:bCs/>
                <w:szCs w:val="18"/>
              </w:rPr>
              <w:t>TSPD/IPS</w:t>
            </w:r>
            <w:r w:rsidRPr="00A5045C">
              <w:rPr>
                <w:rFonts w:cs="Arial"/>
                <w:b/>
                <w:bCs/>
                <w:szCs w:val="18"/>
              </w:rPr>
              <w:t xml:space="preserve"> en  particulier par la mise à disposition :</w:t>
            </w:r>
            <w:r w:rsidRPr="00A5045C">
              <w:rPr>
                <w:rFonts w:cs="Arial"/>
                <w:b/>
                <w:bCs/>
                <w:szCs w:val="18"/>
              </w:rPr>
              <w:br/>
              <w:t xml:space="preserve">·  de préconisations permettant à l’utilisateur d’utiliser les </w:t>
            </w:r>
            <w:r>
              <w:rPr>
                <w:rFonts w:cs="Arial"/>
                <w:b/>
                <w:bCs/>
                <w:szCs w:val="18"/>
              </w:rPr>
              <w:t>TSPD/IPS</w:t>
            </w:r>
            <w:r w:rsidRPr="00A5045C">
              <w:rPr>
                <w:rFonts w:cs="Arial"/>
                <w:b/>
                <w:bCs/>
                <w:szCs w:val="18"/>
              </w:rPr>
              <w:t xml:space="preserve"> en préservant la sécurité de ses accès ;</w:t>
            </w:r>
            <w:r w:rsidRPr="00A5045C">
              <w:rPr>
                <w:rFonts w:cs="Arial"/>
                <w:b/>
                <w:bCs/>
                <w:szCs w:val="18"/>
              </w:rPr>
              <w:br/>
              <w:t xml:space="preserve">·  de procédures à suivre en cas de perte ou vol de l’instrument de paiement délivré pour réaliser une opération de paiement en </w:t>
            </w:r>
            <w:r>
              <w:rPr>
                <w:rFonts w:cs="Arial"/>
                <w:b/>
                <w:bCs/>
                <w:szCs w:val="18"/>
              </w:rPr>
              <w:t>TSPD/IPS</w:t>
            </w:r>
            <w:r w:rsidRPr="00A5045C">
              <w:rPr>
                <w:rFonts w:cs="Arial"/>
                <w:b/>
                <w:bCs/>
                <w:szCs w:val="18"/>
              </w:rPr>
              <w:t>;</w:t>
            </w:r>
            <w:r w:rsidRPr="00A5045C">
              <w:rPr>
                <w:rFonts w:cs="Arial"/>
                <w:b/>
                <w:bCs/>
                <w:szCs w:val="18"/>
              </w:rPr>
              <w:br/>
              <w:t>·  de procédures à suivre en cas de détection d’utilisation abusive ou frauduleuse.</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79A31810"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00DF0DAF"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112CE3" w:rsidRPr="001148E2" w14:paraId="3C3423F1" w14:textId="77777777" w:rsidTr="007165F7">
        <w:trPr>
          <w:trHeight w:val="684"/>
        </w:trPr>
        <w:tc>
          <w:tcPr>
            <w:tcW w:w="6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34C5B9" w14:textId="77777777" w:rsidR="00112CE3" w:rsidRPr="00A5045C" w:rsidRDefault="00112CE3" w:rsidP="00112CE3">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921ADE" w14:textId="77777777" w:rsidR="00112CE3" w:rsidRPr="00A5045C" w:rsidRDefault="00112CE3" w:rsidP="00112CE3">
            <w:pPr>
              <w:spacing w:before="0" w:beforeAutospacing="0" w:after="0" w:afterAutospacing="0"/>
              <w:jc w:val="both"/>
              <w:rPr>
                <w:rFonts w:cs="Arial"/>
                <w:szCs w:val="18"/>
              </w:rPr>
            </w:pPr>
            <w:r w:rsidRPr="00A5045C">
              <w:rPr>
                <w:rFonts w:cs="Arial"/>
                <w:szCs w:val="18"/>
              </w:rPr>
              <w:t xml:space="preserve">a) L’émetteur de </w:t>
            </w:r>
            <w:r>
              <w:rPr>
                <w:rFonts w:cs="Arial"/>
                <w:szCs w:val="18"/>
              </w:rPr>
              <w:t>TSPD/IPS</w:t>
            </w:r>
            <w:r w:rsidRPr="00A5045C">
              <w:rPr>
                <w:rFonts w:cs="Arial"/>
                <w:szCs w:val="18"/>
              </w:rPr>
              <w:t xml:space="preserve"> doit mettre en place une communication claire indiquant aux utilisateurs et financeurs la manière de recevoir des </w:t>
            </w:r>
            <w:r>
              <w:rPr>
                <w:rFonts w:cs="Arial"/>
                <w:szCs w:val="18"/>
              </w:rPr>
              <w:t>TSPD/IPS</w:t>
            </w:r>
            <w:r w:rsidRPr="00A5045C">
              <w:rPr>
                <w:rFonts w:cs="Arial"/>
                <w:szCs w:val="18"/>
              </w:rPr>
              <w:t>, de les utiliser et la règle de sécurité à appliquer pour se prémunir contre une utilisation frauduleuse.</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1E1D91EA" w14:textId="280BDD0C" w:rsidR="00112CE3" w:rsidRPr="00A5045C" w:rsidRDefault="00112CE3" w:rsidP="00112CE3">
            <w:pPr>
              <w:spacing w:before="0" w:beforeAutospacing="0" w:after="0" w:afterAutospacing="0"/>
              <w:jc w:val="center"/>
              <w:rPr>
                <w:rFonts w:cs="Arial"/>
                <w:szCs w:val="18"/>
              </w:rPr>
            </w:pPr>
            <w:r>
              <w:rPr>
                <w:rFonts w:cs="Arial"/>
                <w:szCs w:val="18"/>
              </w:rPr>
              <w:t>Choix entre 4, 3, 2 et 1</w:t>
            </w:r>
          </w:p>
        </w:tc>
        <w:tc>
          <w:tcPr>
            <w:tcW w:w="2545"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6F737A9F" w14:textId="0BDC3694" w:rsidR="00112CE3" w:rsidRPr="00A5045C" w:rsidRDefault="00112CE3" w:rsidP="00112CE3">
            <w:pPr>
              <w:spacing w:before="0" w:beforeAutospacing="0" w:after="0" w:afterAutospacing="0"/>
              <w:jc w:val="center"/>
              <w:rPr>
                <w:rFonts w:cs="Arial"/>
                <w:szCs w:val="18"/>
              </w:rPr>
            </w:pPr>
            <w:r>
              <w:rPr>
                <w:rFonts w:cs="Arial"/>
                <w:color w:val="000000"/>
                <w:szCs w:val="18"/>
              </w:rPr>
              <w:t xml:space="preserve">500 caractères </w:t>
            </w:r>
            <w:r w:rsidR="00D271EB" w:rsidRPr="00146FA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545AF2" w:rsidRPr="001148E2" w14:paraId="479D7033" w14:textId="77777777" w:rsidTr="007165F7">
        <w:trPr>
          <w:trHeight w:val="456"/>
        </w:trPr>
        <w:tc>
          <w:tcPr>
            <w:tcW w:w="646" w:type="dxa"/>
            <w:gridSpan w:val="2"/>
            <w:tcBorders>
              <w:top w:val="single" w:sz="4" w:space="0" w:color="auto"/>
              <w:left w:val="single" w:sz="4" w:space="0" w:color="0070C0"/>
              <w:bottom w:val="nil"/>
              <w:right w:val="single" w:sz="4" w:space="0" w:color="0070C0"/>
            </w:tcBorders>
            <w:shd w:val="clear" w:color="000000" w:fill="FFFFFF"/>
            <w:noWrap/>
            <w:vAlign w:val="center"/>
            <w:hideMark/>
          </w:tcPr>
          <w:p w14:paraId="3753A9E5"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nil"/>
              <w:bottom w:val="single" w:sz="4" w:space="0" w:color="auto"/>
              <w:right w:val="single" w:sz="4" w:space="0" w:color="0070C0"/>
            </w:tcBorders>
            <w:shd w:val="clear" w:color="000000" w:fill="FFFFFF"/>
            <w:noWrap/>
            <w:vAlign w:val="center"/>
            <w:hideMark/>
          </w:tcPr>
          <w:p w14:paraId="1FA98BC3" w14:textId="77777777" w:rsidR="00545AF2" w:rsidRPr="00A5045C" w:rsidRDefault="00545AF2" w:rsidP="00545AF2">
            <w:pPr>
              <w:spacing w:before="0" w:beforeAutospacing="0" w:after="0" w:afterAutospacing="0"/>
              <w:jc w:val="both"/>
              <w:rPr>
                <w:rFonts w:cs="Arial"/>
                <w:szCs w:val="18"/>
              </w:rPr>
            </w:pPr>
            <w:r w:rsidRPr="00A5045C">
              <w:rPr>
                <w:rFonts w:cs="Arial"/>
                <w:szCs w:val="18"/>
              </w:rPr>
              <w:t xml:space="preserve">b) L’émetteur de </w:t>
            </w:r>
            <w:r>
              <w:rPr>
                <w:rFonts w:cs="Arial"/>
                <w:szCs w:val="18"/>
              </w:rPr>
              <w:t>TSPD/IPS</w:t>
            </w:r>
            <w:r w:rsidRPr="00A5045C">
              <w:rPr>
                <w:rFonts w:cs="Arial"/>
                <w:szCs w:val="18"/>
              </w:rPr>
              <w:t xml:space="preserve"> doit prévoir un moyen d’informer ses utilisateurs et financeurs en cas d’incident majeur ou d’évolution du système les impactant.</w:t>
            </w:r>
          </w:p>
        </w:tc>
        <w:tc>
          <w:tcPr>
            <w:tcW w:w="1350" w:type="dxa"/>
            <w:gridSpan w:val="2"/>
            <w:vMerge/>
            <w:tcBorders>
              <w:top w:val="single" w:sz="4" w:space="0" w:color="auto"/>
              <w:left w:val="single" w:sz="4" w:space="0" w:color="0070C0"/>
              <w:bottom w:val="single" w:sz="4" w:space="0" w:color="000000"/>
              <w:right w:val="single" w:sz="4" w:space="0" w:color="0070C0"/>
            </w:tcBorders>
            <w:vAlign w:val="center"/>
            <w:hideMark/>
          </w:tcPr>
          <w:p w14:paraId="46637BF3"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0070C0"/>
              <w:bottom w:val="single" w:sz="4" w:space="0" w:color="000000"/>
              <w:right w:val="single" w:sz="4" w:space="0" w:color="0070C0"/>
            </w:tcBorders>
            <w:shd w:val="clear" w:color="auto" w:fill="FF0000"/>
            <w:vAlign w:val="center"/>
            <w:hideMark/>
          </w:tcPr>
          <w:p w14:paraId="7196F762" w14:textId="77777777" w:rsidR="00545AF2" w:rsidRPr="00A5045C" w:rsidRDefault="00545AF2" w:rsidP="00545AF2">
            <w:pPr>
              <w:spacing w:before="0" w:beforeAutospacing="0" w:after="0" w:afterAutospacing="0"/>
              <w:rPr>
                <w:rFonts w:cs="Arial"/>
                <w:szCs w:val="18"/>
              </w:rPr>
            </w:pPr>
          </w:p>
        </w:tc>
      </w:tr>
      <w:tr w:rsidR="00545AF2" w:rsidRPr="001148E2" w14:paraId="6A7BB121" w14:textId="77777777" w:rsidTr="007165F7">
        <w:trPr>
          <w:trHeight w:val="1140"/>
        </w:trPr>
        <w:tc>
          <w:tcPr>
            <w:tcW w:w="646" w:type="dxa"/>
            <w:gridSpan w:val="2"/>
            <w:tcBorders>
              <w:top w:val="nil"/>
              <w:left w:val="single" w:sz="4" w:space="0" w:color="0070C0"/>
              <w:bottom w:val="single" w:sz="4" w:space="0" w:color="auto"/>
              <w:right w:val="single" w:sz="4" w:space="0" w:color="0070C0"/>
            </w:tcBorders>
            <w:shd w:val="clear" w:color="000000" w:fill="FFFFFF"/>
            <w:noWrap/>
            <w:vAlign w:val="center"/>
            <w:hideMark/>
          </w:tcPr>
          <w:p w14:paraId="7DE62945" w14:textId="77777777" w:rsidR="00545AF2" w:rsidRPr="00A5045C" w:rsidRDefault="00545AF2" w:rsidP="00545AF2">
            <w:pPr>
              <w:spacing w:before="0" w:beforeAutospacing="0" w:after="0" w:afterAutospacing="0"/>
              <w:jc w:val="center"/>
              <w:rPr>
                <w:rFonts w:cs="Arial"/>
                <w:szCs w:val="18"/>
              </w:rPr>
            </w:pPr>
            <w:r w:rsidRPr="00A5045C">
              <w:rPr>
                <w:rFonts w:cs="Arial"/>
                <w:szCs w:val="18"/>
              </w:rPr>
              <w:lastRenderedPageBreak/>
              <w:t> </w:t>
            </w:r>
          </w:p>
        </w:tc>
        <w:tc>
          <w:tcPr>
            <w:tcW w:w="10211" w:type="dxa"/>
            <w:gridSpan w:val="2"/>
            <w:tcBorders>
              <w:top w:val="single" w:sz="4" w:space="0" w:color="auto"/>
              <w:left w:val="nil"/>
              <w:bottom w:val="single" w:sz="4" w:space="0" w:color="auto"/>
              <w:right w:val="single" w:sz="4" w:space="0" w:color="0070C0"/>
            </w:tcBorders>
            <w:shd w:val="clear" w:color="000000" w:fill="FFFFFF"/>
            <w:noWrap/>
            <w:vAlign w:val="center"/>
            <w:hideMark/>
          </w:tcPr>
          <w:p w14:paraId="01CA269E" w14:textId="77777777" w:rsidR="00545AF2" w:rsidRPr="00A5045C" w:rsidRDefault="00545AF2" w:rsidP="00545AF2">
            <w:pPr>
              <w:spacing w:before="0" w:beforeAutospacing="0" w:after="0" w:afterAutospacing="0"/>
              <w:jc w:val="both"/>
              <w:rPr>
                <w:rFonts w:cs="Arial"/>
                <w:szCs w:val="18"/>
              </w:rPr>
            </w:pPr>
            <w:r w:rsidRPr="00A5045C">
              <w:rPr>
                <w:rFonts w:cs="Arial"/>
                <w:szCs w:val="18"/>
              </w:rPr>
              <w:t xml:space="preserve">c) L’émetteur de </w:t>
            </w:r>
            <w:r>
              <w:rPr>
                <w:rFonts w:cs="Arial"/>
                <w:szCs w:val="18"/>
              </w:rPr>
              <w:t>TSPD/IPS</w:t>
            </w:r>
            <w:r w:rsidRPr="00A5045C">
              <w:rPr>
                <w:rFonts w:cs="Arial"/>
                <w:szCs w:val="18"/>
              </w:rPr>
              <w:t xml:space="preserve"> doit mettre à disposition de ses utilisateurs une procédure compréhensible à suivre en cas de perte ou vol de son équipement de paiement et en cas de détection d’utilisation abusive ou frauduleuse. En complément du système de détection en place (cf. 8.1), l’émetteur de </w:t>
            </w:r>
            <w:r>
              <w:rPr>
                <w:rFonts w:cs="Arial"/>
                <w:szCs w:val="18"/>
              </w:rPr>
              <w:t>TSPD/IPS</w:t>
            </w:r>
            <w:r w:rsidRPr="00A5045C">
              <w:rPr>
                <w:rFonts w:cs="Arial"/>
                <w:szCs w:val="18"/>
              </w:rPr>
              <w:t xml:space="preserve"> doit indiquer à ses utilisateurs la manière dont ils peuvent être notifiés concernant les opérations soupçonnées d’être frauduleuses.</w:t>
            </w:r>
          </w:p>
        </w:tc>
        <w:tc>
          <w:tcPr>
            <w:tcW w:w="1350" w:type="dxa"/>
            <w:gridSpan w:val="2"/>
            <w:vMerge/>
            <w:tcBorders>
              <w:top w:val="nil"/>
              <w:left w:val="single" w:sz="4" w:space="0" w:color="0070C0"/>
              <w:bottom w:val="single" w:sz="4" w:space="0" w:color="000000"/>
              <w:right w:val="single" w:sz="4" w:space="0" w:color="0070C0"/>
            </w:tcBorders>
            <w:vAlign w:val="center"/>
            <w:hideMark/>
          </w:tcPr>
          <w:p w14:paraId="43383A43"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nil"/>
              <w:left w:val="single" w:sz="4" w:space="0" w:color="0070C0"/>
              <w:bottom w:val="single" w:sz="4" w:space="0" w:color="000000"/>
              <w:right w:val="single" w:sz="4" w:space="0" w:color="0070C0"/>
            </w:tcBorders>
            <w:shd w:val="clear" w:color="auto" w:fill="FF0000"/>
            <w:vAlign w:val="center"/>
            <w:hideMark/>
          </w:tcPr>
          <w:p w14:paraId="5F200564" w14:textId="77777777" w:rsidR="00545AF2" w:rsidRPr="00A5045C" w:rsidRDefault="00545AF2" w:rsidP="00545AF2">
            <w:pPr>
              <w:spacing w:before="0" w:beforeAutospacing="0" w:after="0" w:afterAutospacing="0"/>
              <w:rPr>
                <w:rFonts w:cs="Arial"/>
                <w:szCs w:val="18"/>
              </w:rPr>
            </w:pPr>
          </w:p>
        </w:tc>
      </w:tr>
    </w:tbl>
    <w:p w14:paraId="26473D18" w14:textId="77777777" w:rsidR="0002430F" w:rsidRPr="001929A0" w:rsidRDefault="0002430F" w:rsidP="00C72580">
      <w:pPr>
        <w:jc w:val="both"/>
        <w:rPr>
          <w:rFonts w:cs="Arial"/>
          <w:bCs/>
          <w:sz w:val="20"/>
        </w:rPr>
      </w:pPr>
    </w:p>
    <w:p w14:paraId="5D40AD69" w14:textId="3A631191" w:rsidR="003E1DAA" w:rsidRPr="00CD68D9" w:rsidRDefault="003E1DAA" w:rsidP="00311261">
      <w:pPr>
        <w:rPr>
          <w:lang w:eastAsia="en-US"/>
        </w:rPr>
      </w:pPr>
    </w:p>
    <w:sectPr w:rsidR="003E1DAA" w:rsidRPr="00CD68D9" w:rsidSect="002A733F">
      <w:headerReference w:type="default" r:id="rId21"/>
      <w:footerReference w:type="default" r:id="rId22"/>
      <w:headerReference w:type="first" r:id="rId23"/>
      <w:footerReference w:type="first" r:id="rId24"/>
      <w:pgSz w:w="16838" w:h="11906" w:orient="landscape" w:code="9"/>
      <w:pgMar w:top="1134" w:right="1134" w:bottom="1134" w:left="1134" w:header="34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9BC66" w14:textId="77777777" w:rsidR="001D6508" w:rsidRDefault="001D6508" w:rsidP="00D000F1">
      <w:r>
        <w:separator/>
      </w:r>
    </w:p>
  </w:endnote>
  <w:endnote w:type="continuationSeparator" w:id="0">
    <w:p w14:paraId="6FD8AE42" w14:textId="77777777" w:rsidR="001D6508" w:rsidRDefault="001D6508" w:rsidP="00D000F1">
      <w:r>
        <w:continuationSeparator/>
      </w:r>
    </w:p>
  </w:endnote>
  <w:endnote w:type="continuationNotice" w:id="1">
    <w:p w14:paraId="72381AE0" w14:textId="77777777" w:rsidR="001D6508" w:rsidRDefault="001D65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3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C47E" w14:textId="77777777" w:rsidR="001D6508" w:rsidRDefault="001D6508" w:rsidP="00391913">
    <w:pPr>
      <w:pStyle w:val="Pieddepage"/>
      <w:pBdr>
        <w:top w:val="single" w:sz="4" w:space="1" w:color="auto"/>
      </w:pBdr>
      <w:tabs>
        <w:tab w:val="right" w:pos="9781"/>
      </w:tabs>
      <w:spacing w:before="0" w:beforeAutospacing="0" w:after="0" w:afterAutospacing="0"/>
      <w:rPr>
        <w:sz w:val="16"/>
        <w:szCs w:val="16"/>
      </w:rPr>
    </w:pPr>
    <w:r>
      <w:rPr>
        <w:sz w:val="16"/>
        <w:szCs w:val="16"/>
      </w:rPr>
      <w:t xml:space="preserve">TSPD, IPS et CESU Collecte Activité, fraude et évolution sécurité &amp; </w:t>
    </w:r>
  </w:p>
  <w:p w14:paraId="4212F85E" w14:textId="711A9EC7" w:rsidR="001D6508" w:rsidRPr="004A2A3D" w:rsidRDefault="001D6508" w:rsidP="00391913">
    <w:pPr>
      <w:pStyle w:val="Pieddepage"/>
      <w:pBdr>
        <w:top w:val="single" w:sz="4" w:space="1" w:color="auto"/>
      </w:pBdr>
      <w:tabs>
        <w:tab w:val="right" w:pos="9781"/>
      </w:tabs>
      <w:spacing w:before="0" w:beforeAutospacing="0" w:after="0" w:afterAutospacing="0"/>
      <w:rPr>
        <w:rFonts w:cs="Arial"/>
        <w:sz w:val="16"/>
        <w:szCs w:val="16"/>
      </w:rPr>
    </w:pPr>
    <w:r>
      <w:rPr>
        <w:sz w:val="16"/>
        <w:szCs w:val="16"/>
      </w:rPr>
      <w:t>Auto évaluation objectifs de sécurité</w:t>
    </w:r>
    <w:r w:rsidRPr="004A2A3D">
      <w:rPr>
        <w:rStyle w:val="PieddepageCar"/>
        <w:rFonts w:ascii="Arial" w:hAnsi="Arial" w:cs="Arial"/>
        <w:sz w:val="16"/>
        <w:szCs w:val="16"/>
      </w:rPr>
      <w:tab/>
    </w:r>
    <w:r>
      <w:rPr>
        <w:rStyle w:val="PieddepageCar"/>
        <w:rFonts w:ascii="Arial" w:hAnsi="Arial" w:cs="Arial"/>
        <w:sz w:val="16"/>
        <w:szCs w:val="16"/>
      </w:rPr>
      <w:tab/>
    </w:r>
    <w:r>
      <w:rPr>
        <w:rStyle w:val="PieddepageCar"/>
        <w:rFonts w:ascii="Arial" w:hAnsi="Arial" w:cs="Arial"/>
        <w:sz w:val="16"/>
        <w:szCs w:val="16"/>
      </w:rPr>
      <w:tab/>
    </w:r>
    <w:r>
      <w:rPr>
        <w:rStyle w:val="PieddepageCar"/>
        <w:rFonts w:ascii="Arial" w:hAnsi="Arial" w:cs="Arial"/>
        <w:sz w:val="16"/>
        <w:szCs w:val="16"/>
      </w:rPr>
      <w:tab/>
    </w:r>
    <w:r>
      <w:rPr>
        <w:rStyle w:val="PieddepageCar"/>
        <w:rFonts w:ascii="Arial" w:hAnsi="Arial" w:cs="Arial"/>
        <w:sz w:val="16"/>
        <w:szCs w:val="16"/>
      </w:rPr>
      <w:tab/>
    </w:r>
    <w:r>
      <w:rPr>
        <w:rStyle w:val="PieddepageCar"/>
        <w:rFonts w:ascii="Arial" w:hAnsi="Arial" w:cs="Arial"/>
        <w:sz w:val="16"/>
        <w:szCs w:val="16"/>
      </w:rPr>
      <w:tab/>
    </w:r>
    <w:r>
      <w:rPr>
        <w:rStyle w:val="PieddepageCar"/>
        <w:rFonts w:ascii="Arial" w:hAnsi="Arial" w:cs="Arial"/>
        <w:sz w:val="16"/>
        <w:szCs w:val="16"/>
      </w:rPr>
      <w:tab/>
    </w:r>
    <w:r>
      <w:rPr>
        <w:rStyle w:val="PieddepageCar"/>
        <w:rFonts w:ascii="Arial" w:hAnsi="Arial" w:cs="Arial"/>
        <w:sz w:val="16"/>
        <w:szCs w:val="16"/>
      </w:rPr>
      <w:tab/>
    </w:r>
    <w:r w:rsidRPr="004A2A3D">
      <w:rPr>
        <w:rStyle w:val="PieddepageCar"/>
        <w:rFonts w:ascii="Arial" w:hAnsi="Arial" w:cs="Arial"/>
        <w:sz w:val="16"/>
        <w:szCs w:val="16"/>
      </w:rPr>
      <w:tab/>
      <w:t>Page</w:t>
    </w:r>
    <w:r w:rsidRPr="004A2A3D">
      <w:rPr>
        <w:rFonts w:cs="Arial"/>
        <w:snapToGrid w:val="0"/>
        <w:sz w:val="16"/>
        <w:szCs w:val="16"/>
      </w:rPr>
      <w:t xml:space="preserve"> </w:t>
    </w:r>
    <w:r w:rsidRPr="004A2A3D">
      <w:rPr>
        <w:rStyle w:val="Numrodepage"/>
        <w:rFonts w:cs="Arial"/>
        <w:sz w:val="16"/>
        <w:szCs w:val="16"/>
      </w:rPr>
      <w:fldChar w:fldCharType="begin"/>
    </w:r>
    <w:r w:rsidRPr="004A2A3D">
      <w:rPr>
        <w:rStyle w:val="Numrodepage"/>
        <w:rFonts w:cs="Arial"/>
        <w:sz w:val="16"/>
        <w:szCs w:val="16"/>
      </w:rPr>
      <w:instrText xml:space="preserve"> PAGE </w:instrText>
    </w:r>
    <w:r w:rsidRPr="004A2A3D">
      <w:rPr>
        <w:rStyle w:val="Numrodepage"/>
        <w:rFonts w:cs="Arial"/>
        <w:sz w:val="16"/>
        <w:szCs w:val="16"/>
      </w:rPr>
      <w:fldChar w:fldCharType="separate"/>
    </w:r>
    <w:r>
      <w:rPr>
        <w:rStyle w:val="Numrodepage"/>
        <w:rFonts w:cs="Arial"/>
        <w:noProof/>
        <w:sz w:val="16"/>
        <w:szCs w:val="16"/>
      </w:rPr>
      <w:t>22</w:t>
    </w:r>
    <w:r w:rsidRPr="004A2A3D">
      <w:rPr>
        <w:rStyle w:val="Numrodepage"/>
        <w:rFonts w:cs="Arial"/>
        <w:sz w:val="16"/>
        <w:szCs w:val="16"/>
      </w:rPr>
      <w:fldChar w:fldCharType="end"/>
    </w:r>
    <w:r w:rsidRPr="004A2A3D">
      <w:rPr>
        <w:rStyle w:val="Numrodepage"/>
        <w:rFonts w:cs="Arial"/>
        <w:sz w:val="16"/>
        <w:szCs w:val="16"/>
      </w:rPr>
      <w:t>/</w:t>
    </w:r>
    <w:r w:rsidRPr="004A2A3D">
      <w:rPr>
        <w:rStyle w:val="Numrodepage"/>
        <w:rFonts w:cs="Arial"/>
        <w:sz w:val="16"/>
        <w:szCs w:val="16"/>
      </w:rPr>
      <w:fldChar w:fldCharType="begin"/>
    </w:r>
    <w:r w:rsidRPr="004A2A3D">
      <w:rPr>
        <w:rStyle w:val="Numrodepage"/>
        <w:rFonts w:cs="Arial"/>
        <w:sz w:val="16"/>
        <w:szCs w:val="16"/>
      </w:rPr>
      <w:instrText xml:space="preserve"> NUMPAGES </w:instrText>
    </w:r>
    <w:r w:rsidRPr="004A2A3D">
      <w:rPr>
        <w:rStyle w:val="Numrodepage"/>
        <w:rFonts w:cs="Arial"/>
        <w:sz w:val="16"/>
        <w:szCs w:val="16"/>
      </w:rPr>
      <w:fldChar w:fldCharType="separate"/>
    </w:r>
    <w:r>
      <w:rPr>
        <w:rStyle w:val="Numrodepage"/>
        <w:rFonts w:cs="Arial"/>
        <w:noProof/>
        <w:sz w:val="16"/>
        <w:szCs w:val="16"/>
      </w:rPr>
      <w:t>23</w:t>
    </w:r>
    <w:r w:rsidRPr="004A2A3D">
      <w:rPr>
        <w:rStyle w:val="Numrodepage"/>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A1590" w14:textId="77777777" w:rsidR="001D6508" w:rsidRDefault="001D6508" w:rsidP="004A2A3D">
    <w:pPr>
      <w:pStyle w:val="Pieddepage"/>
      <w:pBdr>
        <w:top w:val="single" w:sz="4" w:space="1" w:color="auto"/>
      </w:pBdr>
      <w:tabs>
        <w:tab w:val="right" w:pos="9781"/>
      </w:tabs>
      <w:spacing w:before="0" w:beforeAutospacing="0" w:after="0" w:afterAutospacing="0"/>
      <w:rPr>
        <w:sz w:val="16"/>
        <w:szCs w:val="16"/>
      </w:rPr>
    </w:pPr>
    <w:r>
      <w:rPr>
        <w:sz w:val="16"/>
        <w:szCs w:val="16"/>
      </w:rPr>
      <w:t xml:space="preserve">TSPD, IPS et CESU Notice de remplissage Collecte Activité, fraude et évolution </w:t>
    </w:r>
  </w:p>
  <w:p w14:paraId="0EF58B8E" w14:textId="3C46D0E1" w:rsidR="001D6508" w:rsidRPr="005D150D" w:rsidRDefault="001D6508" w:rsidP="004A2A3D">
    <w:pPr>
      <w:pStyle w:val="Pieddepage"/>
      <w:pBdr>
        <w:top w:val="single" w:sz="4" w:space="1" w:color="auto"/>
      </w:pBdr>
      <w:tabs>
        <w:tab w:val="right" w:pos="9781"/>
      </w:tabs>
      <w:spacing w:before="0" w:beforeAutospacing="0" w:after="0" w:afterAutospacing="0"/>
      <w:rPr>
        <w:rFonts w:cs="Arial"/>
      </w:rPr>
    </w:pPr>
    <w:r>
      <w:rPr>
        <w:sz w:val="16"/>
        <w:szCs w:val="16"/>
      </w:rPr>
      <w:t>sécurité &amp; Auto évaluation objectifs de sécurité</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A2A3D">
      <w:rPr>
        <w:rStyle w:val="PieddepageCar"/>
        <w:rFonts w:ascii="Arial" w:hAnsi="Arial" w:cs="Arial"/>
        <w:sz w:val="16"/>
        <w:szCs w:val="16"/>
      </w:rPr>
      <w:tab/>
      <w:t>Page</w:t>
    </w:r>
    <w:r w:rsidRPr="004A2A3D">
      <w:rPr>
        <w:rFonts w:cs="Arial"/>
        <w:snapToGrid w:val="0"/>
        <w:sz w:val="16"/>
        <w:szCs w:val="16"/>
      </w:rPr>
      <w:t xml:space="preserve"> </w:t>
    </w:r>
    <w:r w:rsidRPr="004A2A3D">
      <w:rPr>
        <w:rStyle w:val="Numrodepage"/>
        <w:rFonts w:cs="Arial"/>
        <w:sz w:val="16"/>
        <w:szCs w:val="16"/>
      </w:rPr>
      <w:fldChar w:fldCharType="begin"/>
    </w:r>
    <w:r w:rsidRPr="004A2A3D">
      <w:rPr>
        <w:rStyle w:val="Numrodepage"/>
        <w:rFonts w:cs="Arial"/>
        <w:sz w:val="16"/>
        <w:szCs w:val="16"/>
      </w:rPr>
      <w:instrText xml:space="preserve"> PAGE </w:instrText>
    </w:r>
    <w:r w:rsidRPr="004A2A3D">
      <w:rPr>
        <w:rStyle w:val="Numrodepage"/>
        <w:rFonts w:cs="Arial"/>
        <w:sz w:val="16"/>
        <w:szCs w:val="16"/>
      </w:rPr>
      <w:fldChar w:fldCharType="separate"/>
    </w:r>
    <w:r>
      <w:rPr>
        <w:rStyle w:val="Numrodepage"/>
        <w:rFonts w:cs="Arial"/>
        <w:noProof/>
        <w:sz w:val="16"/>
        <w:szCs w:val="16"/>
      </w:rPr>
      <w:t>1</w:t>
    </w:r>
    <w:r w:rsidRPr="004A2A3D">
      <w:rPr>
        <w:rStyle w:val="Numrodepage"/>
        <w:rFonts w:cs="Arial"/>
        <w:sz w:val="16"/>
        <w:szCs w:val="16"/>
      </w:rPr>
      <w:fldChar w:fldCharType="end"/>
    </w:r>
    <w:r w:rsidRPr="004A2A3D">
      <w:rPr>
        <w:rStyle w:val="Numrodepage"/>
        <w:rFonts w:cs="Arial"/>
        <w:sz w:val="16"/>
        <w:szCs w:val="16"/>
      </w:rPr>
      <w:t>/</w:t>
    </w:r>
    <w:r w:rsidRPr="004A2A3D">
      <w:rPr>
        <w:rStyle w:val="Numrodepage"/>
        <w:rFonts w:cs="Arial"/>
        <w:sz w:val="16"/>
        <w:szCs w:val="16"/>
      </w:rPr>
      <w:fldChar w:fldCharType="begin"/>
    </w:r>
    <w:r w:rsidRPr="004A2A3D">
      <w:rPr>
        <w:rStyle w:val="Numrodepage"/>
        <w:rFonts w:cs="Arial"/>
        <w:sz w:val="16"/>
        <w:szCs w:val="16"/>
      </w:rPr>
      <w:instrText xml:space="preserve"> NUMPAGES </w:instrText>
    </w:r>
    <w:r w:rsidRPr="004A2A3D">
      <w:rPr>
        <w:rStyle w:val="Numrodepage"/>
        <w:rFonts w:cs="Arial"/>
        <w:sz w:val="16"/>
        <w:szCs w:val="16"/>
      </w:rPr>
      <w:fldChar w:fldCharType="separate"/>
    </w:r>
    <w:r>
      <w:rPr>
        <w:rStyle w:val="Numrodepage"/>
        <w:rFonts w:cs="Arial"/>
        <w:noProof/>
        <w:sz w:val="16"/>
        <w:szCs w:val="16"/>
      </w:rPr>
      <w:t>23</w:t>
    </w:r>
    <w:r w:rsidRPr="004A2A3D">
      <w:rPr>
        <w:rStyle w:val="Numrodepage"/>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6E090" w14:textId="77777777" w:rsidR="001D6508" w:rsidRDefault="001D6508" w:rsidP="00D000F1">
      <w:r>
        <w:separator/>
      </w:r>
    </w:p>
  </w:footnote>
  <w:footnote w:type="continuationSeparator" w:id="0">
    <w:p w14:paraId="2D4D786E" w14:textId="77777777" w:rsidR="001D6508" w:rsidRDefault="001D6508" w:rsidP="00D000F1">
      <w:r>
        <w:continuationSeparator/>
      </w:r>
    </w:p>
  </w:footnote>
  <w:footnote w:type="continuationNotice" w:id="1">
    <w:p w14:paraId="1869FF57" w14:textId="77777777" w:rsidR="001D6508" w:rsidRDefault="001D650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4D9F" w14:textId="13DDB1F4" w:rsidR="001D6508" w:rsidRPr="004A2A3D" w:rsidRDefault="001D6508" w:rsidP="004A2A3D">
    <w:pPr>
      <w:pStyle w:val="En-tte"/>
      <w:pBdr>
        <w:bottom w:val="single" w:sz="4" w:space="1" w:color="auto"/>
      </w:pBdr>
      <w:rPr>
        <w:sz w:val="16"/>
        <w:szCs w:val="16"/>
      </w:rPr>
    </w:pPr>
    <w:r>
      <w:rPr>
        <w:rFonts w:cs="Arial"/>
        <w:sz w:val="16"/>
        <w:szCs w:val="16"/>
      </w:rPr>
      <w:t>INSTITUT D’EMISSION D’OUTRE MER</w:t>
    </w:r>
    <w:r w:rsidRPr="004A2A3D">
      <w:rPr>
        <w:rFonts w:cs="Arial"/>
        <w:sz w:val="16"/>
        <w:szCs w:val="16"/>
      </w:rPr>
      <w:ptab w:relativeTo="margin" w:alignment="center" w:leader="none"/>
    </w:r>
    <w:r w:rsidRPr="004A2A3D">
      <w:rPr>
        <w:rFonts w:cs="Arial"/>
        <w:sz w:val="16"/>
        <w:szCs w:val="16"/>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7226" w14:textId="61CBFE86" w:rsidR="001D6508" w:rsidRPr="005B695E" w:rsidRDefault="001D6508" w:rsidP="005B695E">
    <w:pPr>
      <w:pStyle w:val="En-tte"/>
      <w:pBdr>
        <w:bottom w:val="single" w:sz="4" w:space="1" w:color="auto"/>
      </w:pBdr>
      <w:rPr>
        <w:sz w:val="16"/>
        <w:szCs w:val="16"/>
      </w:rPr>
    </w:pPr>
    <w:r>
      <w:rPr>
        <w:rFonts w:cs="Arial"/>
        <w:sz w:val="16"/>
        <w:szCs w:val="16"/>
      </w:rPr>
      <w:t>IEOM</w:t>
    </w:r>
    <w:r w:rsidRPr="004A2A3D">
      <w:rPr>
        <w:rFonts w:cs="Arial"/>
        <w:sz w:val="16"/>
        <w:szCs w:val="16"/>
      </w:rPr>
      <w:ptab w:relativeTo="margin" w:alignment="center" w:leader="none"/>
    </w:r>
    <w:r w:rsidRPr="004A2A3D">
      <w:rPr>
        <w:rFonts w:cs="Arial"/>
        <w:sz w:val="16"/>
        <w:szCs w:val="1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06D1"/>
    <w:multiLevelType w:val="hybridMultilevel"/>
    <w:tmpl w:val="5184A896"/>
    <w:lvl w:ilvl="0" w:tplc="2C0657BA">
      <w:start w:val="1"/>
      <w:numFmt w:val="bullet"/>
      <w:pStyle w:val="1-NormalPuceD"/>
      <w:lvlText w:val=""/>
      <w:lvlJc w:val="left"/>
      <w:pPr>
        <w:tabs>
          <w:tab w:val="num" w:pos="1646"/>
        </w:tabs>
        <w:ind w:left="1286" w:hanging="360"/>
      </w:pPr>
      <w:rPr>
        <w:rFonts w:ascii="Wingdings" w:hAnsi="Wingdings" w:hint="default"/>
        <w:color w:val="4F81BD" w:themeColor="accent1"/>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2"/>
      <w:numFmt w:val="bullet"/>
      <w:lvlText w:val="-"/>
      <w:lvlJc w:val="left"/>
      <w:pPr>
        <w:tabs>
          <w:tab w:val="num" w:pos="2160"/>
        </w:tabs>
        <w:ind w:left="2160" w:hanging="360"/>
      </w:pPr>
      <w:rPr>
        <w:rFonts w:ascii="Times New Roman" w:eastAsia="Times New Roman" w:hAnsi="Times New Roman" w:cs="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90B3B"/>
    <w:multiLevelType w:val="multilevel"/>
    <w:tmpl w:val="24228724"/>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890898"/>
    <w:multiLevelType w:val="hybridMultilevel"/>
    <w:tmpl w:val="D6BEF9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C218AB"/>
    <w:multiLevelType w:val="hybridMultilevel"/>
    <w:tmpl w:val="06183508"/>
    <w:lvl w:ilvl="0" w:tplc="FB8255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0F401F"/>
    <w:multiLevelType w:val="hybridMultilevel"/>
    <w:tmpl w:val="0F7EBFC8"/>
    <w:lvl w:ilvl="0" w:tplc="599A01A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FF0A2C"/>
    <w:multiLevelType w:val="hybridMultilevel"/>
    <w:tmpl w:val="337EF4F6"/>
    <w:lvl w:ilvl="0" w:tplc="9E06DDE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1E1FAC"/>
    <w:multiLevelType w:val="multilevel"/>
    <w:tmpl w:val="7E783CDE"/>
    <w:lvl w:ilvl="0">
      <w:start w:val="2"/>
      <w:numFmt w:val="decimal"/>
      <w:lvlText w:val="%1."/>
      <w:lvlJc w:val="left"/>
      <w:pPr>
        <w:ind w:left="420" w:hanging="420"/>
      </w:pPr>
      <w:rPr>
        <w:rFonts w:hint="default"/>
      </w:rPr>
    </w:lvl>
    <w:lvl w:ilvl="1">
      <w:start w:val="2"/>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648" w:hanging="144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7112" w:hanging="180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576" w:hanging="2160"/>
      </w:pPr>
      <w:rPr>
        <w:rFonts w:hint="default"/>
      </w:rPr>
    </w:lvl>
  </w:abstractNum>
  <w:abstractNum w:abstractNumId="7" w15:restartNumberingAfterBreak="0">
    <w:nsid w:val="34EA2E13"/>
    <w:multiLevelType w:val="hybridMultilevel"/>
    <w:tmpl w:val="F9C0F7F8"/>
    <w:lvl w:ilvl="0" w:tplc="DCE255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F36BEB"/>
    <w:multiLevelType w:val="hybridMultilevel"/>
    <w:tmpl w:val="D13C830C"/>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9" w15:restartNumberingAfterBreak="0">
    <w:nsid w:val="45B1576F"/>
    <w:multiLevelType w:val="multilevel"/>
    <w:tmpl w:val="827C6166"/>
    <w:lvl w:ilvl="0">
      <w:start w:val="1"/>
      <w:numFmt w:val="decimal"/>
      <w:pStyle w:val="Titre1"/>
      <w:lvlText w:val="%1"/>
      <w:lvlJc w:val="left"/>
      <w:pPr>
        <w:ind w:left="432" w:hanging="432"/>
      </w:pPr>
    </w:lvl>
    <w:lvl w:ilvl="1">
      <w:start w:val="1"/>
      <w:numFmt w:val="decimal"/>
      <w:pStyle w:val="Titre2"/>
      <w:lvlText w:val="%1.%2"/>
      <w:lvlJc w:val="left"/>
      <w:pPr>
        <w:ind w:left="3128" w:hanging="576"/>
      </w:pPr>
      <w:rPr>
        <w:b/>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rPr>
        <w:color w:val="auto"/>
      </w:r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5228014E"/>
    <w:multiLevelType w:val="hybridMultilevel"/>
    <w:tmpl w:val="8BE8DD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C45AD"/>
    <w:multiLevelType w:val="hybridMultilevel"/>
    <w:tmpl w:val="8FAC5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7E3EFB"/>
    <w:multiLevelType w:val="hybridMultilevel"/>
    <w:tmpl w:val="FAE0EF80"/>
    <w:lvl w:ilvl="0" w:tplc="0714E8F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BAC4A45"/>
    <w:multiLevelType w:val="hybridMultilevel"/>
    <w:tmpl w:val="EFF0898E"/>
    <w:lvl w:ilvl="0" w:tplc="EA08C9C2">
      <w:numFmt w:val="bullet"/>
      <w:lvlText w:val="-"/>
      <w:lvlJc w:val="left"/>
      <w:pPr>
        <w:ind w:left="720" w:hanging="360"/>
      </w:pPr>
      <w:rPr>
        <w:rFonts w:ascii="Times New Roman" w:eastAsia="Times New Roman" w:hAnsi="Times New Roman" w:cs="Times New Roman"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C61144"/>
    <w:multiLevelType w:val="hybridMultilevel"/>
    <w:tmpl w:val="5F48E3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8"/>
  </w:num>
  <w:num w:numId="5">
    <w:abstractNumId w:val="10"/>
  </w:num>
  <w:num w:numId="6">
    <w:abstractNumId w:val="3"/>
  </w:num>
  <w:num w:numId="7">
    <w:abstractNumId w:val="7"/>
  </w:num>
  <w:num w:numId="8">
    <w:abstractNumId w:val="5"/>
  </w:num>
  <w:num w:numId="9">
    <w:abstractNumId w:val="4"/>
  </w:num>
  <w:num w:numId="10">
    <w:abstractNumId w:val="9"/>
  </w:num>
  <w:num w:numId="11">
    <w:abstractNumId w:val="9"/>
  </w:num>
  <w:num w:numId="12">
    <w:abstractNumId w:val="9"/>
  </w:num>
  <w:num w:numId="13">
    <w:abstractNumId w:val="2"/>
  </w:num>
  <w:num w:numId="14">
    <w:abstractNumId w:val="14"/>
  </w:num>
  <w:num w:numId="15">
    <w:abstractNumId w:val="11"/>
  </w:num>
  <w:num w:numId="16">
    <w:abstractNumId w:val="9"/>
  </w:num>
  <w:num w:numId="17">
    <w:abstractNumId w:val="12"/>
  </w:num>
  <w:num w:numId="18">
    <w:abstractNumId w:val="9"/>
    <w:lvlOverride w:ilvl="0">
      <w:startOverride w:val="2"/>
    </w:lvlOverride>
    <w:lvlOverride w:ilvl="1">
      <w:startOverride w:val="2"/>
    </w:lvlOverride>
    <w:lvlOverride w:ilvl="2">
      <w:startOverride w:val="3"/>
    </w:lvlOverride>
  </w:num>
  <w:num w:numId="19">
    <w:abstractNumId w:val="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469"/>
    <w:rsid w:val="00000B95"/>
    <w:rsid w:val="00001AF8"/>
    <w:rsid w:val="0000244D"/>
    <w:rsid w:val="00002D2C"/>
    <w:rsid w:val="00003820"/>
    <w:rsid w:val="000050A9"/>
    <w:rsid w:val="00005A25"/>
    <w:rsid w:val="00007C4E"/>
    <w:rsid w:val="00007D0E"/>
    <w:rsid w:val="000100B6"/>
    <w:rsid w:val="0001168A"/>
    <w:rsid w:val="00012094"/>
    <w:rsid w:val="00014B90"/>
    <w:rsid w:val="00015588"/>
    <w:rsid w:val="00015DDF"/>
    <w:rsid w:val="00015E0D"/>
    <w:rsid w:val="000176A4"/>
    <w:rsid w:val="00017C08"/>
    <w:rsid w:val="00017EBB"/>
    <w:rsid w:val="00020572"/>
    <w:rsid w:val="00020697"/>
    <w:rsid w:val="00020B21"/>
    <w:rsid w:val="0002394D"/>
    <w:rsid w:val="0002430F"/>
    <w:rsid w:val="00024C53"/>
    <w:rsid w:val="000265C4"/>
    <w:rsid w:val="000273E6"/>
    <w:rsid w:val="0003137E"/>
    <w:rsid w:val="000317A8"/>
    <w:rsid w:val="00032655"/>
    <w:rsid w:val="00032BD2"/>
    <w:rsid w:val="00035408"/>
    <w:rsid w:val="000410BE"/>
    <w:rsid w:val="00042B6A"/>
    <w:rsid w:val="00043199"/>
    <w:rsid w:val="00043DC2"/>
    <w:rsid w:val="000453F5"/>
    <w:rsid w:val="000468F8"/>
    <w:rsid w:val="00046C07"/>
    <w:rsid w:val="00047B80"/>
    <w:rsid w:val="00053350"/>
    <w:rsid w:val="00054095"/>
    <w:rsid w:val="00054946"/>
    <w:rsid w:val="00054ADA"/>
    <w:rsid w:val="000555FF"/>
    <w:rsid w:val="00055785"/>
    <w:rsid w:val="00056645"/>
    <w:rsid w:val="00057258"/>
    <w:rsid w:val="000601FB"/>
    <w:rsid w:val="00060306"/>
    <w:rsid w:val="0006168E"/>
    <w:rsid w:val="000636D8"/>
    <w:rsid w:val="00064C0D"/>
    <w:rsid w:val="000655D8"/>
    <w:rsid w:val="0006619F"/>
    <w:rsid w:val="000662AC"/>
    <w:rsid w:val="0006647E"/>
    <w:rsid w:val="0006685B"/>
    <w:rsid w:val="00072D45"/>
    <w:rsid w:val="000734CB"/>
    <w:rsid w:val="00073DA2"/>
    <w:rsid w:val="000747D2"/>
    <w:rsid w:val="00075260"/>
    <w:rsid w:val="00076B7B"/>
    <w:rsid w:val="000778B4"/>
    <w:rsid w:val="00080183"/>
    <w:rsid w:val="000823CF"/>
    <w:rsid w:val="00084C4D"/>
    <w:rsid w:val="000862E6"/>
    <w:rsid w:val="00087101"/>
    <w:rsid w:val="00093FA9"/>
    <w:rsid w:val="00095111"/>
    <w:rsid w:val="000957F9"/>
    <w:rsid w:val="00096CC0"/>
    <w:rsid w:val="00096D20"/>
    <w:rsid w:val="000A0718"/>
    <w:rsid w:val="000A0CCD"/>
    <w:rsid w:val="000A2243"/>
    <w:rsid w:val="000A2F5E"/>
    <w:rsid w:val="000A353A"/>
    <w:rsid w:val="000A3FF2"/>
    <w:rsid w:val="000A4FC4"/>
    <w:rsid w:val="000A688F"/>
    <w:rsid w:val="000A6F91"/>
    <w:rsid w:val="000A7E81"/>
    <w:rsid w:val="000A7F5B"/>
    <w:rsid w:val="000B00DC"/>
    <w:rsid w:val="000B07B0"/>
    <w:rsid w:val="000B209E"/>
    <w:rsid w:val="000B2713"/>
    <w:rsid w:val="000B2970"/>
    <w:rsid w:val="000B3B1B"/>
    <w:rsid w:val="000B3C4B"/>
    <w:rsid w:val="000B4308"/>
    <w:rsid w:val="000B546F"/>
    <w:rsid w:val="000B5F02"/>
    <w:rsid w:val="000B6A21"/>
    <w:rsid w:val="000B776A"/>
    <w:rsid w:val="000C03A5"/>
    <w:rsid w:val="000C0538"/>
    <w:rsid w:val="000C38B5"/>
    <w:rsid w:val="000C3C08"/>
    <w:rsid w:val="000C4017"/>
    <w:rsid w:val="000C42CF"/>
    <w:rsid w:val="000C7BEF"/>
    <w:rsid w:val="000D10B8"/>
    <w:rsid w:val="000D21E4"/>
    <w:rsid w:val="000D4F57"/>
    <w:rsid w:val="000D50E8"/>
    <w:rsid w:val="000D50EE"/>
    <w:rsid w:val="000D7161"/>
    <w:rsid w:val="000D748B"/>
    <w:rsid w:val="000E13C2"/>
    <w:rsid w:val="000E147E"/>
    <w:rsid w:val="000E17F2"/>
    <w:rsid w:val="000E293E"/>
    <w:rsid w:val="000F125A"/>
    <w:rsid w:val="000F2782"/>
    <w:rsid w:val="000F2ED3"/>
    <w:rsid w:val="000F438D"/>
    <w:rsid w:val="000F514D"/>
    <w:rsid w:val="000F6D65"/>
    <w:rsid w:val="00100E3C"/>
    <w:rsid w:val="00101453"/>
    <w:rsid w:val="0010241B"/>
    <w:rsid w:val="00102A2E"/>
    <w:rsid w:val="00102AE1"/>
    <w:rsid w:val="001032AC"/>
    <w:rsid w:val="00103EBC"/>
    <w:rsid w:val="00103F75"/>
    <w:rsid w:val="001058E5"/>
    <w:rsid w:val="00106250"/>
    <w:rsid w:val="0010718E"/>
    <w:rsid w:val="00107A02"/>
    <w:rsid w:val="00107E24"/>
    <w:rsid w:val="00107EF4"/>
    <w:rsid w:val="00110E0A"/>
    <w:rsid w:val="0011190B"/>
    <w:rsid w:val="00112CE3"/>
    <w:rsid w:val="001148E2"/>
    <w:rsid w:val="00116AC5"/>
    <w:rsid w:val="00116CEB"/>
    <w:rsid w:val="00117086"/>
    <w:rsid w:val="0011716F"/>
    <w:rsid w:val="00120378"/>
    <w:rsid w:val="00120DFF"/>
    <w:rsid w:val="00125597"/>
    <w:rsid w:val="00125AAC"/>
    <w:rsid w:val="00125DC0"/>
    <w:rsid w:val="00127DE6"/>
    <w:rsid w:val="00130A2D"/>
    <w:rsid w:val="00131699"/>
    <w:rsid w:val="001328F8"/>
    <w:rsid w:val="00132ECE"/>
    <w:rsid w:val="0013320C"/>
    <w:rsid w:val="00134890"/>
    <w:rsid w:val="00135078"/>
    <w:rsid w:val="00136278"/>
    <w:rsid w:val="00142BC3"/>
    <w:rsid w:val="00143D0A"/>
    <w:rsid w:val="001457E0"/>
    <w:rsid w:val="00146FAC"/>
    <w:rsid w:val="0015045C"/>
    <w:rsid w:val="0015097C"/>
    <w:rsid w:val="00150D1C"/>
    <w:rsid w:val="001511DA"/>
    <w:rsid w:val="001514B9"/>
    <w:rsid w:val="00151D91"/>
    <w:rsid w:val="00152C46"/>
    <w:rsid w:val="0015325E"/>
    <w:rsid w:val="001544D7"/>
    <w:rsid w:val="00154B7A"/>
    <w:rsid w:val="00162B3F"/>
    <w:rsid w:val="001639E4"/>
    <w:rsid w:val="00163D3D"/>
    <w:rsid w:val="00163D84"/>
    <w:rsid w:val="0017146A"/>
    <w:rsid w:val="001722FD"/>
    <w:rsid w:val="001740FA"/>
    <w:rsid w:val="00180997"/>
    <w:rsid w:val="00180AF1"/>
    <w:rsid w:val="00180EB5"/>
    <w:rsid w:val="00182091"/>
    <w:rsid w:val="00182EE1"/>
    <w:rsid w:val="0018486C"/>
    <w:rsid w:val="00185285"/>
    <w:rsid w:val="001855AF"/>
    <w:rsid w:val="00185F1A"/>
    <w:rsid w:val="001867F8"/>
    <w:rsid w:val="00186FAF"/>
    <w:rsid w:val="001873DC"/>
    <w:rsid w:val="00187781"/>
    <w:rsid w:val="0019067D"/>
    <w:rsid w:val="0019211C"/>
    <w:rsid w:val="001921F0"/>
    <w:rsid w:val="001929A0"/>
    <w:rsid w:val="0019392A"/>
    <w:rsid w:val="001945C6"/>
    <w:rsid w:val="001A0624"/>
    <w:rsid w:val="001A0DB2"/>
    <w:rsid w:val="001A0E0E"/>
    <w:rsid w:val="001A16D1"/>
    <w:rsid w:val="001A3714"/>
    <w:rsid w:val="001A38D1"/>
    <w:rsid w:val="001A3C87"/>
    <w:rsid w:val="001A6BEE"/>
    <w:rsid w:val="001A796C"/>
    <w:rsid w:val="001B081A"/>
    <w:rsid w:val="001B0DF0"/>
    <w:rsid w:val="001B0F92"/>
    <w:rsid w:val="001B125C"/>
    <w:rsid w:val="001B2A08"/>
    <w:rsid w:val="001B2F93"/>
    <w:rsid w:val="001B363B"/>
    <w:rsid w:val="001B41F0"/>
    <w:rsid w:val="001B4479"/>
    <w:rsid w:val="001B4749"/>
    <w:rsid w:val="001B544D"/>
    <w:rsid w:val="001B5671"/>
    <w:rsid w:val="001B5D8A"/>
    <w:rsid w:val="001B625C"/>
    <w:rsid w:val="001B7D00"/>
    <w:rsid w:val="001C0151"/>
    <w:rsid w:val="001C0C1C"/>
    <w:rsid w:val="001C0D9D"/>
    <w:rsid w:val="001C1148"/>
    <w:rsid w:val="001C1809"/>
    <w:rsid w:val="001C2376"/>
    <w:rsid w:val="001C3453"/>
    <w:rsid w:val="001C4FA5"/>
    <w:rsid w:val="001C5B4C"/>
    <w:rsid w:val="001C7DA6"/>
    <w:rsid w:val="001D04A8"/>
    <w:rsid w:val="001D1D6F"/>
    <w:rsid w:val="001D35D6"/>
    <w:rsid w:val="001D5240"/>
    <w:rsid w:val="001D5B4C"/>
    <w:rsid w:val="001D5C81"/>
    <w:rsid w:val="001D6227"/>
    <w:rsid w:val="001D6508"/>
    <w:rsid w:val="001D77EC"/>
    <w:rsid w:val="001E0186"/>
    <w:rsid w:val="001E0445"/>
    <w:rsid w:val="001E19C2"/>
    <w:rsid w:val="001E249F"/>
    <w:rsid w:val="001E29C3"/>
    <w:rsid w:val="001E2F25"/>
    <w:rsid w:val="001E44A6"/>
    <w:rsid w:val="001E535F"/>
    <w:rsid w:val="001E633A"/>
    <w:rsid w:val="001F0E80"/>
    <w:rsid w:val="001F2727"/>
    <w:rsid w:val="001F27C4"/>
    <w:rsid w:val="001F36D2"/>
    <w:rsid w:val="001F3FD0"/>
    <w:rsid w:val="001F5213"/>
    <w:rsid w:val="001F548D"/>
    <w:rsid w:val="00202798"/>
    <w:rsid w:val="0020647B"/>
    <w:rsid w:val="002073D2"/>
    <w:rsid w:val="00212953"/>
    <w:rsid w:val="00214339"/>
    <w:rsid w:val="002177C0"/>
    <w:rsid w:val="00217D36"/>
    <w:rsid w:val="002226E1"/>
    <w:rsid w:val="00223898"/>
    <w:rsid w:val="00223A4B"/>
    <w:rsid w:val="00223B27"/>
    <w:rsid w:val="00223C3D"/>
    <w:rsid w:val="002261B6"/>
    <w:rsid w:val="00226B31"/>
    <w:rsid w:val="00226BF1"/>
    <w:rsid w:val="00232940"/>
    <w:rsid w:val="00233665"/>
    <w:rsid w:val="00233D65"/>
    <w:rsid w:val="00234F78"/>
    <w:rsid w:val="00234FAA"/>
    <w:rsid w:val="00240591"/>
    <w:rsid w:val="002406A1"/>
    <w:rsid w:val="0024075D"/>
    <w:rsid w:val="002416AA"/>
    <w:rsid w:val="00243522"/>
    <w:rsid w:val="00243812"/>
    <w:rsid w:val="00243F37"/>
    <w:rsid w:val="00247693"/>
    <w:rsid w:val="002476C9"/>
    <w:rsid w:val="002528A0"/>
    <w:rsid w:val="00252D14"/>
    <w:rsid w:val="002530A1"/>
    <w:rsid w:val="0025364F"/>
    <w:rsid w:val="00253F2C"/>
    <w:rsid w:val="00254C1B"/>
    <w:rsid w:val="00255AE5"/>
    <w:rsid w:val="00255D58"/>
    <w:rsid w:val="00257F55"/>
    <w:rsid w:val="00260705"/>
    <w:rsid w:val="0026368E"/>
    <w:rsid w:val="00263C42"/>
    <w:rsid w:val="002656CE"/>
    <w:rsid w:val="002657A5"/>
    <w:rsid w:val="00265C6E"/>
    <w:rsid w:val="00271D6A"/>
    <w:rsid w:val="002731B9"/>
    <w:rsid w:val="00273D5F"/>
    <w:rsid w:val="00276888"/>
    <w:rsid w:val="00285BDC"/>
    <w:rsid w:val="002872C6"/>
    <w:rsid w:val="002904BC"/>
    <w:rsid w:val="00294952"/>
    <w:rsid w:val="00295DA7"/>
    <w:rsid w:val="002961A4"/>
    <w:rsid w:val="002962E2"/>
    <w:rsid w:val="00296B5B"/>
    <w:rsid w:val="00297330"/>
    <w:rsid w:val="002A00E3"/>
    <w:rsid w:val="002A0AAB"/>
    <w:rsid w:val="002A0C70"/>
    <w:rsid w:val="002A17EC"/>
    <w:rsid w:val="002A1AE5"/>
    <w:rsid w:val="002A5759"/>
    <w:rsid w:val="002A57B5"/>
    <w:rsid w:val="002A733F"/>
    <w:rsid w:val="002B2D38"/>
    <w:rsid w:val="002B59DC"/>
    <w:rsid w:val="002B70A6"/>
    <w:rsid w:val="002B7356"/>
    <w:rsid w:val="002C0FDB"/>
    <w:rsid w:val="002C180E"/>
    <w:rsid w:val="002C2C4B"/>
    <w:rsid w:val="002C3C18"/>
    <w:rsid w:val="002C3D38"/>
    <w:rsid w:val="002C4BC7"/>
    <w:rsid w:val="002C540B"/>
    <w:rsid w:val="002C573C"/>
    <w:rsid w:val="002C60F3"/>
    <w:rsid w:val="002C67A7"/>
    <w:rsid w:val="002C7E33"/>
    <w:rsid w:val="002D24D5"/>
    <w:rsid w:val="002D2525"/>
    <w:rsid w:val="002D263D"/>
    <w:rsid w:val="002D2A08"/>
    <w:rsid w:val="002D5E7D"/>
    <w:rsid w:val="002D620D"/>
    <w:rsid w:val="002D650B"/>
    <w:rsid w:val="002D6F08"/>
    <w:rsid w:val="002D7F8C"/>
    <w:rsid w:val="002D7FAE"/>
    <w:rsid w:val="002E2625"/>
    <w:rsid w:val="002E2B43"/>
    <w:rsid w:val="002E2B86"/>
    <w:rsid w:val="002E2F8C"/>
    <w:rsid w:val="002E4812"/>
    <w:rsid w:val="002E59D2"/>
    <w:rsid w:val="002E60AE"/>
    <w:rsid w:val="002E64B1"/>
    <w:rsid w:val="002E6792"/>
    <w:rsid w:val="002F11E0"/>
    <w:rsid w:val="002F1AFA"/>
    <w:rsid w:val="002F1BBE"/>
    <w:rsid w:val="002F1C50"/>
    <w:rsid w:val="002F2985"/>
    <w:rsid w:val="002F36E3"/>
    <w:rsid w:val="002F6E8F"/>
    <w:rsid w:val="002F728B"/>
    <w:rsid w:val="00303E2C"/>
    <w:rsid w:val="00304E8B"/>
    <w:rsid w:val="00307DF8"/>
    <w:rsid w:val="00311261"/>
    <w:rsid w:val="00312C34"/>
    <w:rsid w:val="00317F48"/>
    <w:rsid w:val="00320783"/>
    <w:rsid w:val="00320CD5"/>
    <w:rsid w:val="00322C71"/>
    <w:rsid w:val="003234AB"/>
    <w:rsid w:val="003250F7"/>
    <w:rsid w:val="00326779"/>
    <w:rsid w:val="003269AC"/>
    <w:rsid w:val="00331D2A"/>
    <w:rsid w:val="003324EF"/>
    <w:rsid w:val="00332CA0"/>
    <w:rsid w:val="00332F41"/>
    <w:rsid w:val="00333C6B"/>
    <w:rsid w:val="0033432F"/>
    <w:rsid w:val="00336AA4"/>
    <w:rsid w:val="00336DBE"/>
    <w:rsid w:val="003420D1"/>
    <w:rsid w:val="00345649"/>
    <w:rsid w:val="0034565D"/>
    <w:rsid w:val="00345805"/>
    <w:rsid w:val="00345DA4"/>
    <w:rsid w:val="003467DA"/>
    <w:rsid w:val="00346CCE"/>
    <w:rsid w:val="00346DBA"/>
    <w:rsid w:val="00347A92"/>
    <w:rsid w:val="00350C52"/>
    <w:rsid w:val="00350CEA"/>
    <w:rsid w:val="003512A7"/>
    <w:rsid w:val="00351409"/>
    <w:rsid w:val="00351781"/>
    <w:rsid w:val="003518E6"/>
    <w:rsid w:val="00352364"/>
    <w:rsid w:val="00355975"/>
    <w:rsid w:val="00356671"/>
    <w:rsid w:val="003566DA"/>
    <w:rsid w:val="0035737B"/>
    <w:rsid w:val="00357E37"/>
    <w:rsid w:val="00357EDE"/>
    <w:rsid w:val="0036186E"/>
    <w:rsid w:val="003633E7"/>
    <w:rsid w:val="0036364F"/>
    <w:rsid w:val="00364FD6"/>
    <w:rsid w:val="00365F4F"/>
    <w:rsid w:val="00367328"/>
    <w:rsid w:val="0036752C"/>
    <w:rsid w:val="0037077E"/>
    <w:rsid w:val="00370911"/>
    <w:rsid w:val="0037255B"/>
    <w:rsid w:val="00373AB6"/>
    <w:rsid w:val="0037470D"/>
    <w:rsid w:val="003770F4"/>
    <w:rsid w:val="00380283"/>
    <w:rsid w:val="00380444"/>
    <w:rsid w:val="00380C05"/>
    <w:rsid w:val="003811B7"/>
    <w:rsid w:val="00382644"/>
    <w:rsid w:val="003827D6"/>
    <w:rsid w:val="00383607"/>
    <w:rsid w:val="003852F5"/>
    <w:rsid w:val="0038561F"/>
    <w:rsid w:val="00385799"/>
    <w:rsid w:val="0038682B"/>
    <w:rsid w:val="003869D4"/>
    <w:rsid w:val="00386A60"/>
    <w:rsid w:val="0039051E"/>
    <w:rsid w:val="00391913"/>
    <w:rsid w:val="00393524"/>
    <w:rsid w:val="00395CEA"/>
    <w:rsid w:val="003A1B1C"/>
    <w:rsid w:val="003A28E3"/>
    <w:rsid w:val="003A2BAE"/>
    <w:rsid w:val="003B0AF4"/>
    <w:rsid w:val="003B1042"/>
    <w:rsid w:val="003B220F"/>
    <w:rsid w:val="003B36F5"/>
    <w:rsid w:val="003B4F2E"/>
    <w:rsid w:val="003B50AA"/>
    <w:rsid w:val="003B5E5B"/>
    <w:rsid w:val="003B6950"/>
    <w:rsid w:val="003C16FE"/>
    <w:rsid w:val="003C1B8A"/>
    <w:rsid w:val="003C2722"/>
    <w:rsid w:val="003C29C9"/>
    <w:rsid w:val="003C3E68"/>
    <w:rsid w:val="003C4106"/>
    <w:rsid w:val="003C44F1"/>
    <w:rsid w:val="003C45AB"/>
    <w:rsid w:val="003C6E7F"/>
    <w:rsid w:val="003C7D5F"/>
    <w:rsid w:val="003D0FC4"/>
    <w:rsid w:val="003D380F"/>
    <w:rsid w:val="003D58CB"/>
    <w:rsid w:val="003D75C8"/>
    <w:rsid w:val="003E1373"/>
    <w:rsid w:val="003E1DAA"/>
    <w:rsid w:val="003E3363"/>
    <w:rsid w:val="003E42E0"/>
    <w:rsid w:val="003E44ED"/>
    <w:rsid w:val="003E6ACD"/>
    <w:rsid w:val="003E7809"/>
    <w:rsid w:val="003F0631"/>
    <w:rsid w:val="003F07A9"/>
    <w:rsid w:val="003F7F4B"/>
    <w:rsid w:val="004015B4"/>
    <w:rsid w:val="00401B79"/>
    <w:rsid w:val="00402511"/>
    <w:rsid w:val="004026C7"/>
    <w:rsid w:val="0040361D"/>
    <w:rsid w:val="004036E2"/>
    <w:rsid w:val="00404DE9"/>
    <w:rsid w:val="00405A0E"/>
    <w:rsid w:val="004063A1"/>
    <w:rsid w:val="004071AE"/>
    <w:rsid w:val="004105AE"/>
    <w:rsid w:val="00412A18"/>
    <w:rsid w:val="00413C99"/>
    <w:rsid w:val="00417195"/>
    <w:rsid w:val="00417A93"/>
    <w:rsid w:val="00420C3B"/>
    <w:rsid w:val="00421C6E"/>
    <w:rsid w:val="00421E31"/>
    <w:rsid w:val="00424BDF"/>
    <w:rsid w:val="00426C1F"/>
    <w:rsid w:val="00426DA9"/>
    <w:rsid w:val="00430234"/>
    <w:rsid w:val="0043115E"/>
    <w:rsid w:val="004329F7"/>
    <w:rsid w:val="00434F42"/>
    <w:rsid w:val="00436BE2"/>
    <w:rsid w:val="00436C4C"/>
    <w:rsid w:val="0044079A"/>
    <w:rsid w:val="00440EC1"/>
    <w:rsid w:val="004428EB"/>
    <w:rsid w:val="004437E8"/>
    <w:rsid w:val="00443E4D"/>
    <w:rsid w:val="00445653"/>
    <w:rsid w:val="004458B0"/>
    <w:rsid w:val="0044689C"/>
    <w:rsid w:val="00447528"/>
    <w:rsid w:val="00451CB9"/>
    <w:rsid w:val="004527B7"/>
    <w:rsid w:val="00452B82"/>
    <w:rsid w:val="004532AD"/>
    <w:rsid w:val="00453A2F"/>
    <w:rsid w:val="0045477D"/>
    <w:rsid w:val="004547D3"/>
    <w:rsid w:val="00455748"/>
    <w:rsid w:val="00455CFE"/>
    <w:rsid w:val="00456507"/>
    <w:rsid w:val="00456705"/>
    <w:rsid w:val="00456BF7"/>
    <w:rsid w:val="004571F3"/>
    <w:rsid w:val="004608EE"/>
    <w:rsid w:val="0046167A"/>
    <w:rsid w:val="004622ED"/>
    <w:rsid w:val="004637C9"/>
    <w:rsid w:val="004642D0"/>
    <w:rsid w:val="00464C51"/>
    <w:rsid w:val="00465DD4"/>
    <w:rsid w:val="0047110F"/>
    <w:rsid w:val="00471AE2"/>
    <w:rsid w:val="0047219A"/>
    <w:rsid w:val="004741AC"/>
    <w:rsid w:val="004758CE"/>
    <w:rsid w:val="0047720C"/>
    <w:rsid w:val="00480E32"/>
    <w:rsid w:val="00481050"/>
    <w:rsid w:val="004812C0"/>
    <w:rsid w:val="004825DB"/>
    <w:rsid w:val="00482F36"/>
    <w:rsid w:val="00483165"/>
    <w:rsid w:val="00483DFD"/>
    <w:rsid w:val="00485FEF"/>
    <w:rsid w:val="00487D4E"/>
    <w:rsid w:val="004900AC"/>
    <w:rsid w:val="00491C88"/>
    <w:rsid w:val="00492E4E"/>
    <w:rsid w:val="00493209"/>
    <w:rsid w:val="00497187"/>
    <w:rsid w:val="004A2A3D"/>
    <w:rsid w:val="004A2D08"/>
    <w:rsid w:val="004A5287"/>
    <w:rsid w:val="004A5C80"/>
    <w:rsid w:val="004A6347"/>
    <w:rsid w:val="004B12FE"/>
    <w:rsid w:val="004B267B"/>
    <w:rsid w:val="004B296B"/>
    <w:rsid w:val="004B435F"/>
    <w:rsid w:val="004B4EF9"/>
    <w:rsid w:val="004B667A"/>
    <w:rsid w:val="004B747C"/>
    <w:rsid w:val="004C0E35"/>
    <w:rsid w:val="004C16F6"/>
    <w:rsid w:val="004C1712"/>
    <w:rsid w:val="004C21C8"/>
    <w:rsid w:val="004C253C"/>
    <w:rsid w:val="004C2A1D"/>
    <w:rsid w:val="004C40D1"/>
    <w:rsid w:val="004C5509"/>
    <w:rsid w:val="004C5B7F"/>
    <w:rsid w:val="004C5CDA"/>
    <w:rsid w:val="004C737E"/>
    <w:rsid w:val="004C74ED"/>
    <w:rsid w:val="004D2122"/>
    <w:rsid w:val="004D452C"/>
    <w:rsid w:val="004D6292"/>
    <w:rsid w:val="004D6C73"/>
    <w:rsid w:val="004E1DCA"/>
    <w:rsid w:val="004E2078"/>
    <w:rsid w:val="004E3084"/>
    <w:rsid w:val="004E54BE"/>
    <w:rsid w:val="004E605C"/>
    <w:rsid w:val="004E69D3"/>
    <w:rsid w:val="004E734A"/>
    <w:rsid w:val="004F02AB"/>
    <w:rsid w:val="004F29A3"/>
    <w:rsid w:val="004F43B4"/>
    <w:rsid w:val="004F5B22"/>
    <w:rsid w:val="004F6EAC"/>
    <w:rsid w:val="004F7A41"/>
    <w:rsid w:val="005005DD"/>
    <w:rsid w:val="005015A6"/>
    <w:rsid w:val="00501C16"/>
    <w:rsid w:val="00501EE5"/>
    <w:rsid w:val="0050335D"/>
    <w:rsid w:val="0050346F"/>
    <w:rsid w:val="00506E73"/>
    <w:rsid w:val="00507512"/>
    <w:rsid w:val="00511316"/>
    <w:rsid w:val="005130B7"/>
    <w:rsid w:val="00513597"/>
    <w:rsid w:val="0051577C"/>
    <w:rsid w:val="005208E7"/>
    <w:rsid w:val="0052099A"/>
    <w:rsid w:val="00521532"/>
    <w:rsid w:val="005218D4"/>
    <w:rsid w:val="00523AEA"/>
    <w:rsid w:val="0052532A"/>
    <w:rsid w:val="00525DBC"/>
    <w:rsid w:val="00526DD5"/>
    <w:rsid w:val="00530C30"/>
    <w:rsid w:val="00531AD7"/>
    <w:rsid w:val="00535E28"/>
    <w:rsid w:val="0053670D"/>
    <w:rsid w:val="0053721C"/>
    <w:rsid w:val="00537938"/>
    <w:rsid w:val="005421E0"/>
    <w:rsid w:val="00542F6A"/>
    <w:rsid w:val="0054416D"/>
    <w:rsid w:val="00545363"/>
    <w:rsid w:val="00545AF2"/>
    <w:rsid w:val="00551D81"/>
    <w:rsid w:val="005524DA"/>
    <w:rsid w:val="005533B3"/>
    <w:rsid w:val="0055520D"/>
    <w:rsid w:val="0055696A"/>
    <w:rsid w:val="005570E5"/>
    <w:rsid w:val="00557295"/>
    <w:rsid w:val="0055776D"/>
    <w:rsid w:val="00557AD8"/>
    <w:rsid w:val="005615D0"/>
    <w:rsid w:val="00562BF8"/>
    <w:rsid w:val="005631CA"/>
    <w:rsid w:val="00564093"/>
    <w:rsid w:val="00565B33"/>
    <w:rsid w:val="00566B78"/>
    <w:rsid w:val="00567971"/>
    <w:rsid w:val="00567CC9"/>
    <w:rsid w:val="00570C50"/>
    <w:rsid w:val="00570F83"/>
    <w:rsid w:val="00571A5E"/>
    <w:rsid w:val="0057553D"/>
    <w:rsid w:val="00577261"/>
    <w:rsid w:val="005802BA"/>
    <w:rsid w:val="005822F4"/>
    <w:rsid w:val="00583566"/>
    <w:rsid w:val="005837FE"/>
    <w:rsid w:val="00585CAD"/>
    <w:rsid w:val="00592565"/>
    <w:rsid w:val="005931C0"/>
    <w:rsid w:val="00594EB8"/>
    <w:rsid w:val="00595D9E"/>
    <w:rsid w:val="00597422"/>
    <w:rsid w:val="005A1C13"/>
    <w:rsid w:val="005A32BF"/>
    <w:rsid w:val="005A6575"/>
    <w:rsid w:val="005A7A36"/>
    <w:rsid w:val="005A7B6B"/>
    <w:rsid w:val="005A7F24"/>
    <w:rsid w:val="005B031A"/>
    <w:rsid w:val="005B11F2"/>
    <w:rsid w:val="005B13B8"/>
    <w:rsid w:val="005B1DF1"/>
    <w:rsid w:val="005B38F7"/>
    <w:rsid w:val="005B3DCF"/>
    <w:rsid w:val="005B46CE"/>
    <w:rsid w:val="005B46E7"/>
    <w:rsid w:val="005B4B46"/>
    <w:rsid w:val="005B695E"/>
    <w:rsid w:val="005B6CB2"/>
    <w:rsid w:val="005B77C7"/>
    <w:rsid w:val="005C187F"/>
    <w:rsid w:val="005C21E9"/>
    <w:rsid w:val="005C2300"/>
    <w:rsid w:val="005C26C3"/>
    <w:rsid w:val="005C299E"/>
    <w:rsid w:val="005C3AB3"/>
    <w:rsid w:val="005C4F05"/>
    <w:rsid w:val="005C6B60"/>
    <w:rsid w:val="005C7D45"/>
    <w:rsid w:val="005D0A1C"/>
    <w:rsid w:val="005D1285"/>
    <w:rsid w:val="005D150D"/>
    <w:rsid w:val="005D2101"/>
    <w:rsid w:val="005D241B"/>
    <w:rsid w:val="005D2C80"/>
    <w:rsid w:val="005D4B91"/>
    <w:rsid w:val="005D4BB2"/>
    <w:rsid w:val="005D569C"/>
    <w:rsid w:val="005D6C6B"/>
    <w:rsid w:val="005E11FC"/>
    <w:rsid w:val="005E21E1"/>
    <w:rsid w:val="005E3B93"/>
    <w:rsid w:val="005E4529"/>
    <w:rsid w:val="005E47BB"/>
    <w:rsid w:val="005E56FB"/>
    <w:rsid w:val="005E710F"/>
    <w:rsid w:val="005E720F"/>
    <w:rsid w:val="005F0F1E"/>
    <w:rsid w:val="005F363D"/>
    <w:rsid w:val="005F3AD9"/>
    <w:rsid w:val="005F4DEC"/>
    <w:rsid w:val="005F6E23"/>
    <w:rsid w:val="005F77FE"/>
    <w:rsid w:val="005F7881"/>
    <w:rsid w:val="00601E9C"/>
    <w:rsid w:val="0060637A"/>
    <w:rsid w:val="00611447"/>
    <w:rsid w:val="00611734"/>
    <w:rsid w:val="00612F27"/>
    <w:rsid w:val="006132EC"/>
    <w:rsid w:val="00613519"/>
    <w:rsid w:val="00613828"/>
    <w:rsid w:val="00613903"/>
    <w:rsid w:val="00614F79"/>
    <w:rsid w:val="0062156C"/>
    <w:rsid w:val="00622D76"/>
    <w:rsid w:val="00623C8C"/>
    <w:rsid w:val="0062716A"/>
    <w:rsid w:val="00630DD8"/>
    <w:rsid w:val="0063133F"/>
    <w:rsid w:val="00633248"/>
    <w:rsid w:val="006332DA"/>
    <w:rsid w:val="00633607"/>
    <w:rsid w:val="00640C19"/>
    <w:rsid w:val="00640E7A"/>
    <w:rsid w:val="006429C9"/>
    <w:rsid w:val="00644320"/>
    <w:rsid w:val="00650BF3"/>
    <w:rsid w:val="00650FB7"/>
    <w:rsid w:val="00655EBE"/>
    <w:rsid w:val="00662237"/>
    <w:rsid w:val="00662EAB"/>
    <w:rsid w:val="00662FFD"/>
    <w:rsid w:val="00663547"/>
    <w:rsid w:val="00663E7C"/>
    <w:rsid w:val="006642FB"/>
    <w:rsid w:val="00673F40"/>
    <w:rsid w:val="00674A47"/>
    <w:rsid w:val="00675DBD"/>
    <w:rsid w:val="006772A8"/>
    <w:rsid w:val="00680CD9"/>
    <w:rsid w:val="00681C7B"/>
    <w:rsid w:val="006829D5"/>
    <w:rsid w:val="00682BBA"/>
    <w:rsid w:val="006870C6"/>
    <w:rsid w:val="006871D5"/>
    <w:rsid w:val="00687AE4"/>
    <w:rsid w:val="00687BAA"/>
    <w:rsid w:val="00690A2B"/>
    <w:rsid w:val="00692BA0"/>
    <w:rsid w:val="00694AB3"/>
    <w:rsid w:val="006A04FE"/>
    <w:rsid w:val="006A1083"/>
    <w:rsid w:val="006A24AF"/>
    <w:rsid w:val="006A329E"/>
    <w:rsid w:val="006A6965"/>
    <w:rsid w:val="006A69A1"/>
    <w:rsid w:val="006A706F"/>
    <w:rsid w:val="006B095A"/>
    <w:rsid w:val="006B0DE2"/>
    <w:rsid w:val="006B2671"/>
    <w:rsid w:val="006B2FB8"/>
    <w:rsid w:val="006B38DC"/>
    <w:rsid w:val="006B3E0E"/>
    <w:rsid w:val="006B4565"/>
    <w:rsid w:val="006B7606"/>
    <w:rsid w:val="006C0046"/>
    <w:rsid w:val="006C224F"/>
    <w:rsid w:val="006C34B0"/>
    <w:rsid w:val="006C3CE9"/>
    <w:rsid w:val="006C3DA6"/>
    <w:rsid w:val="006C3EC4"/>
    <w:rsid w:val="006C5264"/>
    <w:rsid w:val="006C6D4A"/>
    <w:rsid w:val="006C7B51"/>
    <w:rsid w:val="006C7D71"/>
    <w:rsid w:val="006C7E13"/>
    <w:rsid w:val="006D1687"/>
    <w:rsid w:val="006D17AE"/>
    <w:rsid w:val="006D47E9"/>
    <w:rsid w:val="006D4CF2"/>
    <w:rsid w:val="006D63EB"/>
    <w:rsid w:val="006D666A"/>
    <w:rsid w:val="006D7CAF"/>
    <w:rsid w:val="006E2417"/>
    <w:rsid w:val="006E253D"/>
    <w:rsid w:val="006E4A37"/>
    <w:rsid w:val="006F0D8B"/>
    <w:rsid w:val="006F26F5"/>
    <w:rsid w:val="006F31EA"/>
    <w:rsid w:val="006F3ED0"/>
    <w:rsid w:val="006F463C"/>
    <w:rsid w:val="006F5EB3"/>
    <w:rsid w:val="006F6E8D"/>
    <w:rsid w:val="006F7471"/>
    <w:rsid w:val="0070011F"/>
    <w:rsid w:val="00700638"/>
    <w:rsid w:val="00701792"/>
    <w:rsid w:val="00703C30"/>
    <w:rsid w:val="00705CCA"/>
    <w:rsid w:val="00707508"/>
    <w:rsid w:val="00711A09"/>
    <w:rsid w:val="007135B1"/>
    <w:rsid w:val="00713FF0"/>
    <w:rsid w:val="007165F7"/>
    <w:rsid w:val="00716607"/>
    <w:rsid w:val="00716995"/>
    <w:rsid w:val="007170E7"/>
    <w:rsid w:val="0072041C"/>
    <w:rsid w:val="007208B4"/>
    <w:rsid w:val="00720F3A"/>
    <w:rsid w:val="00722AD9"/>
    <w:rsid w:val="00723406"/>
    <w:rsid w:val="007243F6"/>
    <w:rsid w:val="007272DC"/>
    <w:rsid w:val="007300BB"/>
    <w:rsid w:val="00730AAA"/>
    <w:rsid w:val="0073266F"/>
    <w:rsid w:val="00733123"/>
    <w:rsid w:val="007331CB"/>
    <w:rsid w:val="00733905"/>
    <w:rsid w:val="0073392D"/>
    <w:rsid w:val="007344DB"/>
    <w:rsid w:val="007345A9"/>
    <w:rsid w:val="00734820"/>
    <w:rsid w:val="00735052"/>
    <w:rsid w:val="00735171"/>
    <w:rsid w:val="00735CF1"/>
    <w:rsid w:val="007372A6"/>
    <w:rsid w:val="007376DB"/>
    <w:rsid w:val="007401C3"/>
    <w:rsid w:val="007421DD"/>
    <w:rsid w:val="00742EE1"/>
    <w:rsid w:val="0074403D"/>
    <w:rsid w:val="0074404D"/>
    <w:rsid w:val="00745554"/>
    <w:rsid w:val="00745C2F"/>
    <w:rsid w:val="00745CB5"/>
    <w:rsid w:val="007468C5"/>
    <w:rsid w:val="007476D0"/>
    <w:rsid w:val="007477EC"/>
    <w:rsid w:val="007518AF"/>
    <w:rsid w:val="00751987"/>
    <w:rsid w:val="007538C5"/>
    <w:rsid w:val="007626E8"/>
    <w:rsid w:val="00762953"/>
    <w:rsid w:val="00762F23"/>
    <w:rsid w:val="00763059"/>
    <w:rsid w:val="0076342B"/>
    <w:rsid w:val="007644A8"/>
    <w:rsid w:val="00764FD6"/>
    <w:rsid w:val="00765066"/>
    <w:rsid w:val="00765DF6"/>
    <w:rsid w:val="00767B43"/>
    <w:rsid w:val="00767D16"/>
    <w:rsid w:val="00770B39"/>
    <w:rsid w:val="007717D1"/>
    <w:rsid w:val="00772B7F"/>
    <w:rsid w:val="00772CB4"/>
    <w:rsid w:val="0077327A"/>
    <w:rsid w:val="0077592C"/>
    <w:rsid w:val="00775931"/>
    <w:rsid w:val="00776453"/>
    <w:rsid w:val="0077792F"/>
    <w:rsid w:val="007813B8"/>
    <w:rsid w:val="007814D6"/>
    <w:rsid w:val="007824BD"/>
    <w:rsid w:val="00783187"/>
    <w:rsid w:val="00784D07"/>
    <w:rsid w:val="00784D4F"/>
    <w:rsid w:val="007852CC"/>
    <w:rsid w:val="00791774"/>
    <w:rsid w:val="007948E5"/>
    <w:rsid w:val="007950C1"/>
    <w:rsid w:val="007957D2"/>
    <w:rsid w:val="0079663F"/>
    <w:rsid w:val="00797AFA"/>
    <w:rsid w:val="007A024E"/>
    <w:rsid w:val="007A16A5"/>
    <w:rsid w:val="007A230F"/>
    <w:rsid w:val="007A2AC4"/>
    <w:rsid w:val="007A45D1"/>
    <w:rsid w:val="007A6865"/>
    <w:rsid w:val="007A7006"/>
    <w:rsid w:val="007A7194"/>
    <w:rsid w:val="007B05B2"/>
    <w:rsid w:val="007B064A"/>
    <w:rsid w:val="007B0672"/>
    <w:rsid w:val="007B3AAC"/>
    <w:rsid w:val="007B4C2B"/>
    <w:rsid w:val="007B633F"/>
    <w:rsid w:val="007B68FE"/>
    <w:rsid w:val="007B6FE5"/>
    <w:rsid w:val="007B72C1"/>
    <w:rsid w:val="007B72F4"/>
    <w:rsid w:val="007B7EC9"/>
    <w:rsid w:val="007C044A"/>
    <w:rsid w:val="007C136F"/>
    <w:rsid w:val="007C3386"/>
    <w:rsid w:val="007C3406"/>
    <w:rsid w:val="007C4335"/>
    <w:rsid w:val="007C5AAF"/>
    <w:rsid w:val="007D1E1B"/>
    <w:rsid w:val="007D4355"/>
    <w:rsid w:val="007D4A48"/>
    <w:rsid w:val="007D50B0"/>
    <w:rsid w:val="007D682B"/>
    <w:rsid w:val="007E1A01"/>
    <w:rsid w:val="007E2293"/>
    <w:rsid w:val="007E3857"/>
    <w:rsid w:val="007E49DB"/>
    <w:rsid w:val="007E4F56"/>
    <w:rsid w:val="007E5896"/>
    <w:rsid w:val="007E6791"/>
    <w:rsid w:val="007E71CE"/>
    <w:rsid w:val="007E7591"/>
    <w:rsid w:val="007F5DD8"/>
    <w:rsid w:val="007F6A66"/>
    <w:rsid w:val="007F6AFE"/>
    <w:rsid w:val="007F76D6"/>
    <w:rsid w:val="007F7C4C"/>
    <w:rsid w:val="008001F3"/>
    <w:rsid w:val="00801BEA"/>
    <w:rsid w:val="00803E56"/>
    <w:rsid w:val="00804B86"/>
    <w:rsid w:val="00806032"/>
    <w:rsid w:val="008063D6"/>
    <w:rsid w:val="00807573"/>
    <w:rsid w:val="0081172B"/>
    <w:rsid w:val="0081195D"/>
    <w:rsid w:val="00814BCC"/>
    <w:rsid w:val="00814E89"/>
    <w:rsid w:val="00816027"/>
    <w:rsid w:val="00816888"/>
    <w:rsid w:val="00816E3F"/>
    <w:rsid w:val="008177F9"/>
    <w:rsid w:val="00817F91"/>
    <w:rsid w:val="00821E1C"/>
    <w:rsid w:val="008239DF"/>
    <w:rsid w:val="00823D2A"/>
    <w:rsid w:val="00825BB9"/>
    <w:rsid w:val="00827357"/>
    <w:rsid w:val="00827C78"/>
    <w:rsid w:val="00830F52"/>
    <w:rsid w:val="00831027"/>
    <w:rsid w:val="008321F2"/>
    <w:rsid w:val="008322FD"/>
    <w:rsid w:val="008405D1"/>
    <w:rsid w:val="00841B09"/>
    <w:rsid w:val="008441D3"/>
    <w:rsid w:val="008463EF"/>
    <w:rsid w:val="00846F24"/>
    <w:rsid w:val="00847641"/>
    <w:rsid w:val="008502A5"/>
    <w:rsid w:val="00852D37"/>
    <w:rsid w:val="008530C9"/>
    <w:rsid w:val="00853D31"/>
    <w:rsid w:val="008547F8"/>
    <w:rsid w:val="00855164"/>
    <w:rsid w:val="008560D3"/>
    <w:rsid w:val="00860927"/>
    <w:rsid w:val="0086201D"/>
    <w:rsid w:val="008632B6"/>
    <w:rsid w:val="0086376C"/>
    <w:rsid w:val="00864519"/>
    <w:rsid w:val="00866923"/>
    <w:rsid w:val="008678D1"/>
    <w:rsid w:val="00871F61"/>
    <w:rsid w:val="00873FF0"/>
    <w:rsid w:val="008744D3"/>
    <w:rsid w:val="00874C3D"/>
    <w:rsid w:val="00875381"/>
    <w:rsid w:val="00876E1F"/>
    <w:rsid w:val="00877858"/>
    <w:rsid w:val="008826E8"/>
    <w:rsid w:val="008839C4"/>
    <w:rsid w:val="00883BCF"/>
    <w:rsid w:val="00883E89"/>
    <w:rsid w:val="00883E9D"/>
    <w:rsid w:val="008843B2"/>
    <w:rsid w:val="00884CE0"/>
    <w:rsid w:val="00884DFA"/>
    <w:rsid w:val="008859BC"/>
    <w:rsid w:val="0088785B"/>
    <w:rsid w:val="00890683"/>
    <w:rsid w:val="00891C6C"/>
    <w:rsid w:val="0089283B"/>
    <w:rsid w:val="00894DD9"/>
    <w:rsid w:val="00894F93"/>
    <w:rsid w:val="00895DEA"/>
    <w:rsid w:val="008966F5"/>
    <w:rsid w:val="00896721"/>
    <w:rsid w:val="00896FBB"/>
    <w:rsid w:val="00897317"/>
    <w:rsid w:val="008A1DDD"/>
    <w:rsid w:val="008A2451"/>
    <w:rsid w:val="008A3C69"/>
    <w:rsid w:val="008B2B86"/>
    <w:rsid w:val="008B322B"/>
    <w:rsid w:val="008B352A"/>
    <w:rsid w:val="008B389F"/>
    <w:rsid w:val="008B3904"/>
    <w:rsid w:val="008B3CB8"/>
    <w:rsid w:val="008B4833"/>
    <w:rsid w:val="008B5717"/>
    <w:rsid w:val="008B647C"/>
    <w:rsid w:val="008C0E58"/>
    <w:rsid w:val="008C12EC"/>
    <w:rsid w:val="008C35B9"/>
    <w:rsid w:val="008C479E"/>
    <w:rsid w:val="008C63C1"/>
    <w:rsid w:val="008C6827"/>
    <w:rsid w:val="008C7524"/>
    <w:rsid w:val="008C7DF4"/>
    <w:rsid w:val="008D04D6"/>
    <w:rsid w:val="008D135B"/>
    <w:rsid w:val="008D1ACC"/>
    <w:rsid w:val="008D2508"/>
    <w:rsid w:val="008D3F6D"/>
    <w:rsid w:val="008D47E7"/>
    <w:rsid w:val="008D5FB7"/>
    <w:rsid w:val="008D713E"/>
    <w:rsid w:val="008D78E4"/>
    <w:rsid w:val="008D7D10"/>
    <w:rsid w:val="008E01E0"/>
    <w:rsid w:val="008E1BB2"/>
    <w:rsid w:val="008E1C8D"/>
    <w:rsid w:val="008E2436"/>
    <w:rsid w:val="008E2DC7"/>
    <w:rsid w:val="008E52A4"/>
    <w:rsid w:val="008E5C52"/>
    <w:rsid w:val="008E74D1"/>
    <w:rsid w:val="008E7EC4"/>
    <w:rsid w:val="008F05C1"/>
    <w:rsid w:val="008F16E0"/>
    <w:rsid w:val="008F2D72"/>
    <w:rsid w:val="008F3381"/>
    <w:rsid w:val="008F3EE1"/>
    <w:rsid w:val="008F4EAE"/>
    <w:rsid w:val="008F6348"/>
    <w:rsid w:val="008F6F82"/>
    <w:rsid w:val="008F77FF"/>
    <w:rsid w:val="009005F2"/>
    <w:rsid w:val="00901FAD"/>
    <w:rsid w:val="00902968"/>
    <w:rsid w:val="00903466"/>
    <w:rsid w:val="00903739"/>
    <w:rsid w:val="00904E7D"/>
    <w:rsid w:val="0090652C"/>
    <w:rsid w:val="009109E2"/>
    <w:rsid w:val="00911575"/>
    <w:rsid w:val="00913CCD"/>
    <w:rsid w:val="00915AFA"/>
    <w:rsid w:val="0091640A"/>
    <w:rsid w:val="00916C26"/>
    <w:rsid w:val="00916EE1"/>
    <w:rsid w:val="0091798B"/>
    <w:rsid w:val="0092177B"/>
    <w:rsid w:val="00923F73"/>
    <w:rsid w:val="009250BE"/>
    <w:rsid w:val="009272D6"/>
    <w:rsid w:val="0092730B"/>
    <w:rsid w:val="00930269"/>
    <w:rsid w:val="00930753"/>
    <w:rsid w:val="00932EBC"/>
    <w:rsid w:val="00935E37"/>
    <w:rsid w:val="009377B3"/>
    <w:rsid w:val="00937950"/>
    <w:rsid w:val="00940B4D"/>
    <w:rsid w:val="00941CBA"/>
    <w:rsid w:val="00942598"/>
    <w:rsid w:val="009430B4"/>
    <w:rsid w:val="00944642"/>
    <w:rsid w:val="00946364"/>
    <w:rsid w:val="0094674D"/>
    <w:rsid w:val="009511E9"/>
    <w:rsid w:val="00951680"/>
    <w:rsid w:val="00951AF1"/>
    <w:rsid w:val="00952CFB"/>
    <w:rsid w:val="009530D2"/>
    <w:rsid w:val="00953229"/>
    <w:rsid w:val="00953C1E"/>
    <w:rsid w:val="00953F2F"/>
    <w:rsid w:val="009540B9"/>
    <w:rsid w:val="00955166"/>
    <w:rsid w:val="00955A89"/>
    <w:rsid w:val="00955B1C"/>
    <w:rsid w:val="009562B3"/>
    <w:rsid w:val="009607FB"/>
    <w:rsid w:val="00962071"/>
    <w:rsid w:val="00963387"/>
    <w:rsid w:val="0096624B"/>
    <w:rsid w:val="00967020"/>
    <w:rsid w:val="0097104F"/>
    <w:rsid w:val="00971A38"/>
    <w:rsid w:val="00971E56"/>
    <w:rsid w:val="00974632"/>
    <w:rsid w:val="009766BD"/>
    <w:rsid w:val="00980D54"/>
    <w:rsid w:val="0098147C"/>
    <w:rsid w:val="009842CE"/>
    <w:rsid w:val="00984521"/>
    <w:rsid w:val="0098593C"/>
    <w:rsid w:val="009866DC"/>
    <w:rsid w:val="009874E9"/>
    <w:rsid w:val="00990D32"/>
    <w:rsid w:val="009915E1"/>
    <w:rsid w:val="00994337"/>
    <w:rsid w:val="00994E8D"/>
    <w:rsid w:val="00994EB7"/>
    <w:rsid w:val="00997DB1"/>
    <w:rsid w:val="009A0C14"/>
    <w:rsid w:val="009A108A"/>
    <w:rsid w:val="009A22D6"/>
    <w:rsid w:val="009A382F"/>
    <w:rsid w:val="009A3958"/>
    <w:rsid w:val="009A43CF"/>
    <w:rsid w:val="009A43D6"/>
    <w:rsid w:val="009A5170"/>
    <w:rsid w:val="009A54D7"/>
    <w:rsid w:val="009A5989"/>
    <w:rsid w:val="009A5FC6"/>
    <w:rsid w:val="009A6E9C"/>
    <w:rsid w:val="009B0261"/>
    <w:rsid w:val="009B06ED"/>
    <w:rsid w:val="009B1533"/>
    <w:rsid w:val="009B167A"/>
    <w:rsid w:val="009B1BE7"/>
    <w:rsid w:val="009B36CE"/>
    <w:rsid w:val="009B45BD"/>
    <w:rsid w:val="009B60E7"/>
    <w:rsid w:val="009B6CED"/>
    <w:rsid w:val="009C0E00"/>
    <w:rsid w:val="009C0FDD"/>
    <w:rsid w:val="009C2253"/>
    <w:rsid w:val="009C559D"/>
    <w:rsid w:val="009C63E6"/>
    <w:rsid w:val="009D108D"/>
    <w:rsid w:val="009D2693"/>
    <w:rsid w:val="009D3070"/>
    <w:rsid w:val="009D4F8D"/>
    <w:rsid w:val="009D5267"/>
    <w:rsid w:val="009D668F"/>
    <w:rsid w:val="009D71F2"/>
    <w:rsid w:val="009E0B0B"/>
    <w:rsid w:val="009E1A96"/>
    <w:rsid w:val="009E3F32"/>
    <w:rsid w:val="009E5412"/>
    <w:rsid w:val="009E59D6"/>
    <w:rsid w:val="009E7306"/>
    <w:rsid w:val="009F0FA3"/>
    <w:rsid w:val="009F124C"/>
    <w:rsid w:val="009F17E7"/>
    <w:rsid w:val="009F19E9"/>
    <w:rsid w:val="009F3F65"/>
    <w:rsid w:val="009F44A1"/>
    <w:rsid w:val="009F5832"/>
    <w:rsid w:val="009F5FE8"/>
    <w:rsid w:val="009F630E"/>
    <w:rsid w:val="009F7A4E"/>
    <w:rsid w:val="00A00B9B"/>
    <w:rsid w:val="00A019E9"/>
    <w:rsid w:val="00A0379B"/>
    <w:rsid w:val="00A040CC"/>
    <w:rsid w:val="00A07E3F"/>
    <w:rsid w:val="00A12A3A"/>
    <w:rsid w:val="00A12A55"/>
    <w:rsid w:val="00A1671B"/>
    <w:rsid w:val="00A16CCC"/>
    <w:rsid w:val="00A17142"/>
    <w:rsid w:val="00A200F3"/>
    <w:rsid w:val="00A20C72"/>
    <w:rsid w:val="00A22CE2"/>
    <w:rsid w:val="00A22E62"/>
    <w:rsid w:val="00A258FD"/>
    <w:rsid w:val="00A25ADA"/>
    <w:rsid w:val="00A26E8A"/>
    <w:rsid w:val="00A300E8"/>
    <w:rsid w:val="00A30C70"/>
    <w:rsid w:val="00A33CF2"/>
    <w:rsid w:val="00A347FA"/>
    <w:rsid w:val="00A35120"/>
    <w:rsid w:val="00A3581E"/>
    <w:rsid w:val="00A35F6F"/>
    <w:rsid w:val="00A361B3"/>
    <w:rsid w:val="00A36814"/>
    <w:rsid w:val="00A401A8"/>
    <w:rsid w:val="00A42723"/>
    <w:rsid w:val="00A457A7"/>
    <w:rsid w:val="00A46F60"/>
    <w:rsid w:val="00A47F97"/>
    <w:rsid w:val="00A50019"/>
    <w:rsid w:val="00A5045C"/>
    <w:rsid w:val="00A52E63"/>
    <w:rsid w:val="00A557C3"/>
    <w:rsid w:val="00A575ED"/>
    <w:rsid w:val="00A612B7"/>
    <w:rsid w:val="00A613B2"/>
    <w:rsid w:val="00A619F8"/>
    <w:rsid w:val="00A6544E"/>
    <w:rsid w:val="00A658EE"/>
    <w:rsid w:val="00A667BA"/>
    <w:rsid w:val="00A71A40"/>
    <w:rsid w:val="00A71C04"/>
    <w:rsid w:val="00A73264"/>
    <w:rsid w:val="00A779DB"/>
    <w:rsid w:val="00A812DA"/>
    <w:rsid w:val="00A8134F"/>
    <w:rsid w:val="00A8140D"/>
    <w:rsid w:val="00A81932"/>
    <w:rsid w:val="00A826E0"/>
    <w:rsid w:val="00A8315C"/>
    <w:rsid w:val="00A8418C"/>
    <w:rsid w:val="00A860EC"/>
    <w:rsid w:val="00A87EE6"/>
    <w:rsid w:val="00A90517"/>
    <w:rsid w:val="00A92933"/>
    <w:rsid w:val="00A92C45"/>
    <w:rsid w:val="00A93976"/>
    <w:rsid w:val="00A93CF9"/>
    <w:rsid w:val="00A95674"/>
    <w:rsid w:val="00A96265"/>
    <w:rsid w:val="00A96FE1"/>
    <w:rsid w:val="00A97428"/>
    <w:rsid w:val="00A977B8"/>
    <w:rsid w:val="00A97CAB"/>
    <w:rsid w:val="00AA1098"/>
    <w:rsid w:val="00AA2024"/>
    <w:rsid w:val="00AA2C8E"/>
    <w:rsid w:val="00AA37A4"/>
    <w:rsid w:val="00AA3E71"/>
    <w:rsid w:val="00AA4513"/>
    <w:rsid w:val="00AA5C4A"/>
    <w:rsid w:val="00AA7A9E"/>
    <w:rsid w:val="00AB06AE"/>
    <w:rsid w:val="00AB205B"/>
    <w:rsid w:val="00AB59CC"/>
    <w:rsid w:val="00AB65BA"/>
    <w:rsid w:val="00AC0AFA"/>
    <w:rsid w:val="00AC10A6"/>
    <w:rsid w:val="00AC32A6"/>
    <w:rsid w:val="00AC6A10"/>
    <w:rsid w:val="00AD1123"/>
    <w:rsid w:val="00AD1C4F"/>
    <w:rsid w:val="00AD261C"/>
    <w:rsid w:val="00AD3667"/>
    <w:rsid w:val="00AD463F"/>
    <w:rsid w:val="00AD4DE2"/>
    <w:rsid w:val="00AD5176"/>
    <w:rsid w:val="00AD7219"/>
    <w:rsid w:val="00AD7CC5"/>
    <w:rsid w:val="00AE1E12"/>
    <w:rsid w:val="00AE3393"/>
    <w:rsid w:val="00AE3BE8"/>
    <w:rsid w:val="00AE5C33"/>
    <w:rsid w:val="00AE7337"/>
    <w:rsid w:val="00AF04E1"/>
    <w:rsid w:val="00AF2EAC"/>
    <w:rsid w:val="00AF3CDC"/>
    <w:rsid w:val="00AF4C68"/>
    <w:rsid w:val="00AF5B37"/>
    <w:rsid w:val="00B01063"/>
    <w:rsid w:val="00B011C8"/>
    <w:rsid w:val="00B0523A"/>
    <w:rsid w:val="00B05EAC"/>
    <w:rsid w:val="00B05F64"/>
    <w:rsid w:val="00B0653F"/>
    <w:rsid w:val="00B06A49"/>
    <w:rsid w:val="00B10040"/>
    <w:rsid w:val="00B10427"/>
    <w:rsid w:val="00B134ED"/>
    <w:rsid w:val="00B1394E"/>
    <w:rsid w:val="00B15E4C"/>
    <w:rsid w:val="00B206B8"/>
    <w:rsid w:val="00B20997"/>
    <w:rsid w:val="00B2177C"/>
    <w:rsid w:val="00B233C2"/>
    <w:rsid w:val="00B245F3"/>
    <w:rsid w:val="00B268C5"/>
    <w:rsid w:val="00B27E38"/>
    <w:rsid w:val="00B27FAF"/>
    <w:rsid w:val="00B31102"/>
    <w:rsid w:val="00B31CDB"/>
    <w:rsid w:val="00B324B1"/>
    <w:rsid w:val="00B32B68"/>
    <w:rsid w:val="00B336F6"/>
    <w:rsid w:val="00B34097"/>
    <w:rsid w:val="00B340E9"/>
    <w:rsid w:val="00B36CA1"/>
    <w:rsid w:val="00B40286"/>
    <w:rsid w:val="00B410E4"/>
    <w:rsid w:val="00B413B7"/>
    <w:rsid w:val="00B4448F"/>
    <w:rsid w:val="00B44CFD"/>
    <w:rsid w:val="00B46EF3"/>
    <w:rsid w:val="00B502C2"/>
    <w:rsid w:val="00B54E94"/>
    <w:rsid w:val="00B55211"/>
    <w:rsid w:val="00B57301"/>
    <w:rsid w:val="00B57C3A"/>
    <w:rsid w:val="00B60D86"/>
    <w:rsid w:val="00B61D27"/>
    <w:rsid w:val="00B61EB8"/>
    <w:rsid w:val="00B62338"/>
    <w:rsid w:val="00B629BA"/>
    <w:rsid w:val="00B6320F"/>
    <w:rsid w:val="00B63770"/>
    <w:rsid w:val="00B64B19"/>
    <w:rsid w:val="00B65364"/>
    <w:rsid w:val="00B6552C"/>
    <w:rsid w:val="00B662DF"/>
    <w:rsid w:val="00B669D9"/>
    <w:rsid w:val="00B671DC"/>
    <w:rsid w:val="00B70F13"/>
    <w:rsid w:val="00B7278F"/>
    <w:rsid w:val="00B72DA6"/>
    <w:rsid w:val="00B744A0"/>
    <w:rsid w:val="00B75C68"/>
    <w:rsid w:val="00B7693F"/>
    <w:rsid w:val="00B77948"/>
    <w:rsid w:val="00B80CC7"/>
    <w:rsid w:val="00B80D66"/>
    <w:rsid w:val="00B82C54"/>
    <w:rsid w:val="00B83745"/>
    <w:rsid w:val="00B8494D"/>
    <w:rsid w:val="00B8494F"/>
    <w:rsid w:val="00B85217"/>
    <w:rsid w:val="00B8585B"/>
    <w:rsid w:val="00B87ADD"/>
    <w:rsid w:val="00B916A4"/>
    <w:rsid w:val="00B920CE"/>
    <w:rsid w:val="00B93CD9"/>
    <w:rsid w:val="00B94997"/>
    <w:rsid w:val="00B94C44"/>
    <w:rsid w:val="00B96666"/>
    <w:rsid w:val="00BA349D"/>
    <w:rsid w:val="00BA3501"/>
    <w:rsid w:val="00BA3898"/>
    <w:rsid w:val="00BA4CB5"/>
    <w:rsid w:val="00BA6944"/>
    <w:rsid w:val="00BA7F17"/>
    <w:rsid w:val="00BB0914"/>
    <w:rsid w:val="00BB1523"/>
    <w:rsid w:val="00BB1925"/>
    <w:rsid w:val="00BC032D"/>
    <w:rsid w:val="00BC20CE"/>
    <w:rsid w:val="00BC3065"/>
    <w:rsid w:val="00BC55BD"/>
    <w:rsid w:val="00BC685F"/>
    <w:rsid w:val="00BC6FC7"/>
    <w:rsid w:val="00BD1E53"/>
    <w:rsid w:val="00BD2FB3"/>
    <w:rsid w:val="00BD3530"/>
    <w:rsid w:val="00BD3AA8"/>
    <w:rsid w:val="00BD3D38"/>
    <w:rsid w:val="00BE0920"/>
    <w:rsid w:val="00BE0AFB"/>
    <w:rsid w:val="00BE0D4A"/>
    <w:rsid w:val="00BE10F9"/>
    <w:rsid w:val="00BE2644"/>
    <w:rsid w:val="00BE2B8F"/>
    <w:rsid w:val="00BE374E"/>
    <w:rsid w:val="00BE59A0"/>
    <w:rsid w:val="00BE6279"/>
    <w:rsid w:val="00BF0D12"/>
    <w:rsid w:val="00BF22FD"/>
    <w:rsid w:val="00BF24A8"/>
    <w:rsid w:val="00BF2519"/>
    <w:rsid w:val="00BF389C"/>
    <w:rsid w:val="00BF4C67"/>
    <w:rsid w:val="00BF75D3"/>
    <w:rsid w:val="00BF7898"/>
    <w:rsid w:val="00BF7C34"/>
    <w:rsid w:val="00C004C6"/>
    <w:rsid w:val="00C0116C"/>
    <w:rsid w:val="00C01AC2"/>
    <w:rsid w:val="00C027D3"/>
    <w:rsid w:val="00C02B25"/>
    <w:rsid w:val="00C05C8A"/>
    <w:rsid w:val="00C07693"/>
    <w:rsid w:val="00C10A05"/>
    <w:rsid w:val="00C11D5E"/>
    <w:rsid w:val="00C15667"/>
    <w:rsid w:val="00C15911"/>
    <w:rsid w:val="00C1651C"/>
    <w:rsid w:val="00C16DA2"/>
    <w:rsid w:val="00C2063D"/>
    <w:rsid w:val="00C20DFF"/>
    <w:rsid w:val="00C21578"/>
    <w:rsid w:val="00C21CBF"/>
    <w:rsid w:val="00C238B9"/>
    <w:rsid w:val="00C26370"/>
    <w:rsid w:val="00C26BA3"/>
    <w:rsid w:val="00C27C60"/>
    <w:rsid w:val="00C3083E"/>
    <w:rsid w:val="00C308FD"/>
    <w:rsid w:val="00C31A3B"/>
    <w:rsid w:val="00C31C8F"/>
    <w:rsid w:val="00C327EC"/>
    <w:rsid w:val="00C33440"/>
    <w:rsid w:val="00C343EB"/>
    <w:rsid w:val="00C344E7"/>
    <w:rsid w:val="00C35D49"/>
    <w:rsid w:val="00C4083C"/>
    <w:rsid w:val="00C43992"/>
    <w:rsid w:val="00C444B6"/>
    <w:rsid w:val="00C44929"/>
    <w:rsid w:val="00C45451"/>
    <w:rsid w:val="00C45693"/>
    <w:rsid w:val="00C466AA"/>
    <w:rsid w:val="00C470D3"/>
    <w:rsid w:val="00C47DD1"/>
    <w:rsid w:val="00C502C4"/>
    <w:rsid w:val="00C50AF2"/>
    <w:rsid w:val="00C5382F"/>
    <w:rsid w:val="00C5459D"/>
    <w:rsid w:val="00C55015"/>
    <w:rsid w:val="00C56FFC"/>
    <w:rsid w:val="00C57314"/>
    <w:rsid w:val="00C57E00"/>
    <w:rsid w:val="00C631DF"/>
    <w:rsid w:val="00C65146"/>
    <w:rsid w:val="00C65827"/>
    <w:rsid w:val="00C65CE4"/>
    <w:rsid w:val="00C700DD"/>
    <w:rsid w:val="00C72580"/>
    <w:rsid w:val="00C726F0"/>
    <w:rsid w:val="00C72C7A"/>
    <w:rsid w:val="00C73436"/>
    <w:rsid w:val="00C74281"/>
    <w:rsid w:val="00C74ADC"/>
    <w:rsid w:val="00C75040"/>
    <w:rsid w:val="00C762BE"/>
    <w:rsid w:val="00C802BA"/>
    <w:rsid w:val="00C82D3A"/>
    <w:rsid w:val="00C8389E"/>
    <w:rsid w:val="00C857DE"/>
    <w:rsid w:val="00C86C2E"/>
    <w:rsid w:val="00C86E74"/>
    <w:rsid w:val="00C90E8A"/>
    <w:rsid w:val="00C914F2"/>
    <w:rsid w:val="00C91DCF"/>
    <w:rsid w:val="00C92737"/>
    <w:rsid w:val="00C931A5"/>
    <w:rsid w:val="00C93732"/>
    <w:rsid w:val="00C969A0"/>
    <w:rsid w:val="00C97ED7"/>
    <w:rsid w:val="00CA180A"/>
    <w:rsid w:val="00CA1F20"/>
    <w:rsid w:val="00CA2064"/>
    <w:rsid w:val="00CA2733"/>
    <w:rsid w:val="00CA42DA"/>
    <w:rsid w:val="00CA4856"/>
    <w:rsid w:val="00CB0966"/>
    <w:rsid w:val="00CB5E09"/>
    <w:rsid w:val="00CB6F9F"/>
    <w:rsid w:val="00CC15B3"/>
    <w:rsid w:val="00CC211B"/>
    <w:rsid w:val="00CC3067"/>
    <w:rsid w:val="00CC48E9"/>
    <w:rsid w:val="00CC50C9"/>
    <w:rsid w:val="00CC5BA4"/>
    <w:rsid w:val="00CD094A"/>
    <w:rsid w:val="00CD22BE"/>
    <w:rsid w:val="00CD2D06"/>
    <w:rsid w:val="00CD3A00"/>
    <w:rsid w:val="00CD4480"/>
    <w:rsid w:val="00CD4582"/>
    <w:rsid w:val="00CD5FFB"/>
    <w:rsid w:val="00CD6485"/>
    <w:rsid w:val="00CD6698"/>
    <w:rsid w:val="00CD6796"/>
    <w:rsid w:val="00CD68D9"/>
    <w:rsid w:val="00CD6A0F"/>
    <w:rsid w:val="00CD6A30"/>
    <w:rsid w:val="00CE0105"/>
    <w:rsid w:val="00CE11FC"/>
    <w:rsid w:val="00CE2C07"/>
    <w:rsid w:val="00CE4454"/>
    <w:rsid w:val="00CE4A2E"/>
    <w:rsid w:val="00CE5A5A"/>
    <w:rsid w:val="00CE5AAD"/>
    <w:rsid w:val="00CE5D67"/>
    <w:rsid w:val="00CE61A0"/>
    <w:rsid w:val="00CF0CC6"/>
    <w:rsid w:val="00CF0FDB"/>
    <w:rsid w:val="00CF2E61"/>
    <w:rsid w:val="00CF62AB"/>
    <w:rsid w:val="00CF67BE"/>
    <w:rsid w:val="00CF7B25"/>
    <w:rsid w:val="00D000F1"/>
    <w:rsid w:val="00D007FE"/>
    <w:rsid w:val="00D03471"/>
    <w:rsid w:val="00D05203"/>
    <w:rsid w:val="00D06372"/>
    <w:rsid w:val="00D0698B"/>
    <w:rsid w:val="00D06C49"/>
    <w:rsid w:val="00D072F2"/>
    <w:rsid w:val="00D154EB"/>
    <w:rsid w:val="00D16927"/>
    <w:rsid w:val="00D16B58"/>
    <w:rsid w:val="00D17757"/>
    <w:rsid w:val="00D20C5D"/>
    <w:rsid w:val="00D21F4A"/>
    <w:rsid w:val="00D22E0E"/>
    <w:rsid w:val="00D23FCB"/>
    <w:rsid w:val="00D271EB"/>
    <w:rsid w:val="00D27D41"/>
    <w:rsid w:val="00D30B81"/>
    <w:rsid w:val="00D31176"/>
    <w:rsid w:val="00D31562"/>
    <w:rsid w:val="00D317EF"/>
    <w:rsid w:val="00D31AF0"/>
    <w:rsid w:val="00D35812"/>
    <w:rsid w:val="00D3670B"/>
    <w:rsid w:val="00D40EFC"/>
    <w:rsid w:val="00D427CE"/>
    <w:rsid w:val="00D4584D"/>
    <w:rsid w:val="00D46534"/>
    <w:rsid w:val="00D46AA5"/>
    <w:rsid w:val="00D47CA7"/>
    <w:rsid w:val="00D51200"/>
    <w:rsid w:val="00D515F5"/>
    <w:rsid w:val="00D525FB"/>
    <w:rsid w:val="00D537D6"/>
    <w:rsid w:val="00D56332"/>
    <w:rsid w:val="00D6185F"/>
    <w:rsid w:val="00D6223A"/>
    <w:rsid w:val="00D649AD"/>
    <w:rsid w:val="00D66480"/>
    <w:rsid w:val="00D707BD"/>
    <w:rsid w:val="00D7178D"/>
    <w:rsid w:val="00D71AC6"/>
    <w:rsid w:val="00D71D83"/>
    <w:rsid w:val="00D7239F"/>
    <w:rsid w:val="00D74AC2"/>
    <w:rsid w:val="00D777F6"/>
    <w:rsid w:val="00D779A4"/>
    <w:rsid w:val="00D77B20"/>
    <w:rsid w:val="00D80D38"/>
    <w:rsid w:val="00D81CB8"/>
    <w:rsid w:val="00D84D44"/>
    <w:rsid w:val="00D84EF1"/>
    <w:rsid w:val="00D8554B"/>
    <w:rsid w:val="00D86B24"/>
    <w:rsid w:val="00D87A00"/>
    <w:rsid w:val="00D87FC3"/>
    <w:rsid w:val="00D902AD"/>
    <w:rsid w:val="00D9042A"/>
    <w:rsid w:val="00D913CC"/>
    <w:rsid w:val="00D919C9"/>
    <w:rsid w:val="00D92318"/>
    <w:rsid w:val="00D928E4"/>
    <w:rsid w:val="00D94A65"/>
    <w:rsid w:val="00D95AA2"/>
    <w:rsid w:val="00D9620A"/>
    <w:rsid w:val="00DA00B0"/>
    <w:rsid w:val="00DA06E4"/>
    <w:rsid w:val="00DA18B6"/>
    <w:rsid w:val="00DA1DBE"/>
    <w:rsid w:val="00DA2917"/>
    <w:rsid w:val="00DA2D61"/>
    <w:rsid w:val="00DA4CCA"/>
    <w:rsid w:val="00DA5885"/>
    <w:rsid w:val="00DA58A7"/>
    <w:rsid w:val="00DA6C06"/>
    <w:rsid w:val="00DA7578"/>
    <w:rsid w:val="00DB0174"/>
    <w:rsid w:val="00DB11A2"/>
    <w:rsid w:val="00DB12E7"/>
    <w:rsid w:val="00DB1E18"/>
    <w:rsid w:val="00DB1F65"/>
    <w:rsid w:val="00DB269D"/>
    <w:rsid w:val="00DB3F0A"/>
    <w:rsid w:val="00DB4238"/>
    <w:rsid w:val="00DB525D"/>
    <w:rsid w:val="00DB6CD6"/>
    <w:rsid w:val="00DC0D7D"/>
    <w:rsid w:val="00DC3A1F"/>
    <w:rsid w:val="00DC41CB"/>
    <w:rsid w:val="00DC4D61"/>
    <w:rsid w:val="00DC57FD"/>
    <w:rsid w:val="00DD013C"/>
    <w:rsid w:val="00DD05ED"/>
    <w:rsid w:val="00DD1753"/>
    <w:rsid w:val="00DD23A4"/>
    <w:rsid w:val="00DD4BDF"/>
    <w:rsid w:val="00DD59E6"/>
    <w:rsid w:val="00DD7381"/>
    <w:rsid w:val="00DD73ED"/>
    <w:rsid w:val="00DD7ADC"/>
    <w:rsid w:val="00DE1217"/>
    <w:rsid w:val="00DE15DD"/>
    <w:rsid w:val="00DE216D"/>
    <w:rsid w:val="00DE3741"/>
    <w:rsid w:val="00DE3F32"/>
    <w:rsid w:val="00DE401B"/>
    <w:rsid w:val="00DE57C5"/>
    <w:rsid w:val="00DE6301"/>
    <w:rsid w:val="00DE7AE0"/>
    <w:rsid w:val="00DF083F"/>
    <w:rsid w:val="00DF1870"/>
    <w:rsid w:val="00DF24C0"/>
    <w:rsid w:val="00DF2567"/>
    <w:rsid w:val="00DF2C84"/>
    <w:rsid w:val="00DF5450"/>
    <w:rsid w:val="00DF5F33"/>
    <w:rsid w:val="00DF60C0"/>
    <w:rsid w:val="00DF6B95"/>
    <w:rsid w:val="00DF71E3"/>
    <w:rsid w:val="00E004DD"/>
    <w:rsid w:val="00E0239A"/>
    <w:rsid w:val="00E03A09"/>
    <w:rsid w:val="00E03D3B"/>
    <w:rsid w:val="00E03F23"/>
    <w:rsid w:val="00E04A5D"/>
    <w:rsid w:val="00E0658C"/>
    <w:rsid w:val="00E06982"/>
    <w:rsid w:val="00E07EFE"/>
    <w:rsid w:val="00E1124A"/>
    <w:rsid w:val="00E12282"/>
    <w:rsid w:val="00E12356"/>
    <w:rsid w:val="00E14227"/>
    <w:rsid w:val="00E142C6"/>
    <w:rsid w:val="00E17E7B"/>
    <w:rsid w:val="00E20E84"/>
    <w:rsid w:val="00E2168C"/>
    <w:rsid w:val="00E22093"/>
    <w:rsid w:val="00E23B06"/>
    <w:rsid w:val="00E24C56"/>
    <w:rsid w:val="00E24F6A"/>
    <w:rsid w:val="00E268A4"/>
    <w:rsid w:val="00E274A4"/>
    <w:rsid w:val="00E328A9"/>
    <w:rsid w:val="00E333F2"/>
    <w:rsid w:val="00E338A0"/>
    <w:rsid w:val="00E33C93"/>
    <w:rsid w:val="00E362A7"/>
    <w:rsid w:val="00E401BD"/>
    <w:rsid w:val="00E415C2"/>
    <w:rsid w:val="00E41F10"/>
    <w:rsid w:val="00E43FCA"/>
    <w:rsid w:val="00E441D8"/>
    <w:rsid w:val="00E44889"/>
    <w:rsid w:val="00E4555D"/>
    <w:rsid w:val="00E462D6"/>
    <w:rsid w:val="00E46783"/>
    <w:rsid w:val="00E500D7"/>
    <w:rsid w:val="00E51C10"/>
    <w:rsid w:val="00E51D28"/>
    <w:rsid w:val="00E554CD"/>
    <w:rsid w:val="00E5586C"/>
    <w:rsid w:val="00E5783F"/>
    <w:rsid w:val="00E6056F"/>
    <w:rsid w:val="00E640F1"/>
    <w:rsid w:val="00E64E76"/>
    <w:rsid w:val="00E66511"/>
    <w:rsid w:val="00E67000"/>
    <w:rsid w:val="00E70105"/>
    <w:rsid w:val="00E70D2C"/>
    <w:rsid w:val="00E7174C"/>
    <w:rsid w:val="00E72B3A"/>
    <w:rsid w:val="00E7388E"/>
    <w:rsid w:val="00E73ABA"/>
    <w:rsid w:val="00E7407E"/>
    <w:rsid w:val="00E7744B"/>
    <w:rsid w:val="00E7760D"/>
    <w:rsid w:val="00E77E1B"/>
    <w:rsid w:val="00E815EC"/>
    <w:rsid w:val="00E81976"/>
    <w:rsid w:val="00E8323A"/>
    <w:rsid w:val="00E85A08"/>
    <w:rsid w:val="00E860D4"/>
    <w:rsid w:val="00E87699"/>
    <w:rsid w:val="00E908FB"/>
    <w:rsid w:val="00E90CA3"/>
    <w:rsid w:val="00E929DB"/>
    <w:rsid w:val="00E9364E"/>
    <w:rsid w:val="00E93C02"/>
    <w:rsid w:val="00E95B20"/>
    <w:rsid w:val="00E95C7C"/>
    <w:rsid w:val="00E95DE0"/>
    <w:rsid w:val="00E96E55"/>
    <w:rsid w:val="00E974B7"/>
    <w:rsid w:val="00EA133A"/>
    <w:rsid w:val="00EA32EB"/>
    <w:rsid w:val="00EA6B1A"/>
    <w:rsid w:val="00EA7938"/>
    <w:rsid w:val="00EB0997"/>
    <w:rsid w:val="00EB1880"/>
    <w:rsid w:val="00EB26BD"/>
    <w:rsid w:val="00EB3496"/>
    <w:rsid w:val="00EB586C"/>
    <w:rsid w:val="00EB5991"/>
    <w:rsid w:val="00EB68BB"/>
    <w:rsid w:val="00EB6A4E"/>
    <w:rsid w:val="00EB7295"/>
    <w:rsid w:val="00EC28CF"/>
    <w:rsid w:val="00EC574A"/>
    <w:rsid w:val="00EC62E9"/>
    <w:rsid w:val="00EC63F8"/>
    <w:rsid w:val="00EC72DA"/>
    <w:rsid w:val="00ED06FD"/>
    <w:rsid w:val="00ED21AB"/>
    <w:rsid w:val="00ED2DC9"/>
    <w:rsid w:val="00ED2DF6"/>
    <w:rsid w:val="00ED30AB"/>
    <w:rsid w:val="00ED4A80"/>
    <w:rsid w:val="00ED5334"/>
    <w:rsid w:val="00ED5822"/>
    <w:rsid w:val="00ED5A5F"/>
    <w:rsid w:val="00ED68DA"/>
    <w:rsid w:val="00ED6BC4"/>
    <w:rsid w:val="00EE1D70"/>
    <w:rsid w:val="00EE2542"/>
    <w:rsid w:val="00EE2DA8"/>
    <w:rsid w:val="00EE4ECA"/>
    <w:rsid w:val="00EE5723"/>
    <w:rsid w:val="00EE6135"/>
    <w:rsid w:val="00EE6A12"/>
    <w:rsid w:val="00EF1EE8"/>
    <w:rsid w:val="00EF5248"/>
    <w:rsid w:val="00EF56C9"/>
    <w:rsid w:val="00F00A75"/>
    <w:rsid w:val="00F00DA9"/>
    <w:rsid w:val="00F01071"/>
    <w:rsid w:val="00F026D7"/>
    <w:rsid w:val="00F03BC8"/>
    <w:rsid w:val="00F03DFB"/>
    <w:rsid w:val="00F12875"/>
    <w:rsid w:val="00F12983"/>
    <w:rsid w:val="00F13BDE"/>
    <w:rsid w:val="00F13C37"/>
    <w:rsid w:val="00F150C7"/>
    <w:rsid w:val="00F16546"/>
    <w:rsid w:val="00F17201"/>
    <w:rsid w:val="00F1752B"/>
    <w:rsid w:val="00F20582"/>
    <w:rsid w:val="00F2104F"/>
    <w:rsid w:val="00F265B6"/>
    <w:rsid w:val="00F31202"/>
    <w:rsid w:val="00F31517"/>
    <w:rsid w:val="00F32ECD"/>
    <w:rsid w:val="00F33597"/>
    <w:rsid w:val="00F3550E"/>
    <w:rsid w:val="00F3594A"/>
    <w:rsid w:val="00F35D75"/>
    <w:rsid w:val="00F36A55"/>
    <w:rsid w:val="00F40068"/>
    <w:rsid w:val="00F40FAE"/>
    <w:rsid w:val="00F4145A"/>
    <w:rsid w:val="00F41E53"/>
    <w:rsid w:val="00F432A7"/>
    <w:rsid w:val="00F4384A"/>
    <w:rsid w:val="00F44D8B"/>
    <w:rsid w:val="00F47192"/>
    <w:rsid w:val="00F477E5"/>
    <w:rsid w:val="00F47B49"/>
    <w:rsid w:val="00F50B55"/>
    <w:rsid w:val="00F50CC9"/>
    <w:rsid w:val="00F5285D"/>
    <w:rsid w:val="00F52904"/>
    <w:rsid w:val="00F563FF"/>
    <w:rsid w:val="00F571F8"/>
    <w:rsid w:val="00F57404"/>
    <w:rsid w:val="00F576A3"/>
    <w:rsid w:val="00F60850"/>
    <w:rsid w:val="00F60E7F"/>
    <w:rsid w:val="00F60FB3"/>
    <w:rsid w:val="00F610C5"/>
    <w:rsid w:val="00F61C65"/>
    <w:rsid w:val="00F6226C"/>
    <w:rsid w:val="00F62E29"/>
    <w:rsid w:val="00F633E9"/>
    <w:rsid w:val="00F635B6"/>
    <w:rsid w:val="00F65706"/>
    <w:rsid w:val="00F65B73"/>
    <w:rsid w:val="00F66976"/>
    <w:rsid w:val="00F669D5"/>
    <w:rsid w:val="00F66F59"/>
    <w:rsid w:val="00F71524"/>
    <w:rsid w:val="00F72125"/>
    <w:rsid w:val="00F72B00"/>
    <w:rsid w:val="00F731F9"/>
    <w:rsid w:val="00F73A49"/>
    <w:rsid w:val="00F745F8"/>
    <w:rsid w:val="00F753EB"/>
    <w:rsid w:val="00F762A9"/>
    <w:rsid w:val="00F80A2B"/>
    <w:rsid w:val="00F80ABB"/>
    <w:rsid w:val="00F81D9E"/>
    <w:rsid w:val="00F81F4E"/>
    <w:rsid w:val="00F831DA"/>
    <w:rsid w:val="00F84469"/>
    <w:rsid w:val="00F904E6"/>
    <w:rsid w:val="00F909A5"/>
    <w:rsid w:val="00F90C78"/>
    <w:rsid w:val="00F91B67"/>
    <w:rsid w:val="00F94D1D"/>
    <w:rsid w:val="00F9522D"/>
    <w:rsid w:val="00F95A77"/>
    <w:rsid w:val="00F95F76"/>
    <w:rsid w:val="00F96346"/>
    <w:rsid w:val="00F96E1A"/>
    <w:rsid w:val="00F973A2"/>
    <w:rsid w:val="00FA0AD6"/>
    <w:rsid w:val="00FA136E"/>
    <w:rsid w:val="00FA2D9C"/>
    <w:rsid w:val="00FA2E8E"/>
    <w:rsid w:val="00FA3093"/>
    <w:rsid w:val="00FA36A1"/>
    <w:rsid w:val="00FA3E29"/>
    <w:rsid w:val="00FA4246"/>
    <w:rsid w:val="00FA5583"/>
    <w:rsid w:val="00FA5FF2"/>
    <w:rsid w:val="00FA7095"/>
    <w:rsid w:val="00FA72F0"/>
    <w:rsid w:val="00FA785C"/>
    <w:rsid w:val="00FB0927"/>
    <w:rsid w:val="00FB19FC"/>
    <w:rsid w:val="00FB27AB"/>
    <w:rsid w:val="00FB3F90"/>
    <w:rsid w:val="00FB58AD"/>
    <w:rsid w:val="00FB6027"/>
    <w:rsid w:val="00FB60FC"/>
    <w:rsid w:val="00FB664D"/>
    <w:rsid w:val="00FB77F1"/>
    <w:rsid w:val="00FC0C02"/>
    <w:rsid w:val="00FC0D86"/>
    <w:rsid w:val="00FC138F"/>
    <w:rsid w:val="00FC1AF9"/>
    <w:rsid w:val="00FC25A0"/>
    <w:rsid w:val="00FC3425"/>
    <w:rsid w:val="00FC4B9F"/>
    <w:rsid w:val="00FC4C0A"/>
    <w:rsid w:val="00FC6147"/>
    <w:rsid w:val="00FC6784"/>
    <w:rsid w:val="00FD014F"/>
    <w:rsid w:val="00FD1CC1"/>
    <w:rsid w:val="00FD2977"/>
    <w:rsid w:val="00FD36D9"/>
    <w:rsid w:val="00FD4534"/>
    <w:rsid w:val="00FD5395"/>
    <w:rsid w:val="00FD58AC"/>
    <w:rsid w:val="00FD63B5"/>
    <w:rsid w:val="00FE0FF4"/>
    <w:rsid w:val="00FE1352"/>
    <w:rsid w:val="00FE18E4"/>
    <w:rsid w:val="00FE195C"/>
    <w:rsid w:val="00FE21F4"/>
    <w:rsid w:val="00FE470A"/>
    <w:rsid w:val="00FE4FF2"/>
    <w:rsid w:val="00FE51C8"/>
    <w:rsid w:val="00FE6468"/>
    <w:rsid w:val="00FE7852"/>
    <w:rsid w:val="00FE7DDD"/>
    <w:rsid w:val="00FF0784"/>
    <w:rsid w:val="00FF101F"/>
    <w:rsid w:val="00FF58AC"/>
    <w:rsid w:val="00FF5C13"/>
    <w:rsid w:val="00FF7C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2B108736"/>
  <w15:docId w15:val="{1B469ED0-6779-43CF-9345-3AEEABDE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FF2"/>
    <w:pPr>
      <w:spacing w:before="100" w:beforeAutospacing="1" w:after="100" w:afterAutospacing="1" w:line="240" w:lineRule="auto"/>
    </w:pPr>
    <w:rPr>
      <w:rFonts w:ascii="Arial" w:eastAsia="Times New Roman" w:hAnsi="Arial" w:cs="Times New Roman"/>
      <w:sz w:val="18"/>
      <w:szCs w:val="20"/>
      <w:lang w:eastAsia="fr-FR"/>
    </w:rPr>
  </w:style>
  <w:style w:type="paragraph" w:styleId="Titre1">
    <w:name w:val="heading 1"/>
    <w:aliases w:val="TITRE1"/>
    <w:basedOn w:val="Normal"/>
    <w:next w:val="Normal"/>
    <w:link w:val="Titre1Car"/>
    <w:autoRedefine/>
    <w:uiPriority w:val="9"/>
    <w:qFormat/>
    <w:rsid w:val="003566DA"/>
    <w:pPr>
      <w:keepNext/>
      <w:keepLines/>
      <w:numPr>
        <w:numId w:val="3"/>
      </w:numPr>
      <w:spacing w:after="240" w:line="276" w:lineRule="auto"/>
      <w:outlineLvl w:val="0"/>
    </w:pPr>
    <w:rPr>
      <w:rFonts w:asciiTheme="majorHAnsi" w:eastAsiaTheme="majorEastAsia" w:hAnsiTheme="majorHAnsi" w:cstheme="majorBidi"/>
      <w:b/>
      <w:bCs/>
      <w:color w:val="8064A2" w:themeColor="accent4"/>
      <w:sz w:val="26"/>
      <w:szCs w:val="26"/>
      <w:lang w:eastAsia="en-US"/>
    </w:rPr>
  </w:style>
  <w:style w:type="paragraph" w:styleId="Titre2">
    <w:name w:val="heading 2"/>
    <w:aliases w:val="Titre § 2,l2,prop2,h2,Arial 12 Fett Kursiv,H2,Heading2,Abschnitt,paragraphe,I2,Titre 21,t2.T2,Titre 2bis,nul,Titre 2bis1,nul1,2,2nd level,Header 2,Head 2,Section Title,1.1,List level 2,CHS,Titre 2 - RAO,Specf Titre 2,Titre 2-CAT"/>
    <w:basedOn w:val="Normal"/>
    <w:next w:val="Normal"/>
    <w:link w:val="Titre2Car"/>
    <w:uiPriority w:val="9"/>
    <w:unhideWhenUsed/>
    <w:qFormat/>
    <w:rsid w:val="00C21CBF"/>
    <w:pPr>
      <w:keepNext/>
      <w:keepLines/>
      <w:numPr>
        <w:ilvl w:val="1"/>
        <w:numId w:val="3"/>
      </w:numPr>
      <w:spacing w:after="24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aliases w:val="Titre § 3,prop3,h3,h31,h32,h33,h34,h35,h36,h37,h38,h39,h310,h311,h321,h331,h341,h351,h361,h371,h381,h312,h322,h332,h342,h352,h362,h372,h382,h313,h323,h333,h343,h353,h363,h373,h383,h314,h324,h334,h344,h354,h364,h374,h384,h315,h325,h335,h345"/>
    <w:basedOn w:val="Normal"/>
    <w:next w:val="Normal"/>
    <w:link w:val="Titre3Car"/>
    <w:unhideWhenUsed/>
    <w:qFormat/>
    <w:rsid w:val="00D000F1"/>
    <w:pPr>
      <w:keepNext/>
      <w:keepLines/>
      <w:numPr>
        <w:ilvl w:val="2"/>
        <w:numId w:val="3"/>
      </w:numPr>
      <w:spacing w:before="200"/>
      <w:outlineLvl w:val="2"/>
    </w:pPr>
    <w:rPr>
      <w:rFonts w:asciiTheme="majorHAnsi" w:eastAsiaTheme="majorEastAsia" w:hAnsiTheme="majorHAnsi" w:cstheme="majorBidi"/>
      <w:b/>
      <w:bCs/>
      <w:color w:val="4F81BD" w:themeColor="accent1"/>
      <w:sz w:val="20"/>
    </w:rPr>
  </w:style>
  <w:style w:type="paragraph" w:styleId="Titre4">
    <w:name w:val="heading 4"/>
    <w:aliases w:val="Titre § 4,(annexe),H4,h4,h41,h42,h43,h411,h44,h412,h45,h413,h46,h414,h47,h48,h415,h49,h410,h416,h417,h418,h419,h420,h4110,h421,h422,h4111,h431,h441,h4121,h451,h4131,h461,h4141,h471,h481,h4151,h491,h4101,h4161,h4171,h4181,h4191,h4201,h41101"/>
    <w:basedOn w:val="Normal"/>
    <w:next w:val="Normal"/>
    <w:link w:val="Titre4Car"/>
    <w:qFormat/>
    <w:rsid w:val="00E5586C"/>
    <w:pPr>
      <w:keepNext/>
      <w:numPr>
        <w:ilvl w:val="3"/>
        <w:numId w:val="3"/>
      </w:numPr>
      <w:spacing w:before="120" w:after="60" w:line="280" w:lineRule="exact"/>
      <w:jc w:val="both"/>
      <w:outlineLvl w:val="3"/>
    </w:pPr>
    <w:rPr>
      <w:rFonts w:asciiTheme="majorHAnsi" w:hAnsiTheme="majorHAnsi"/>
      <w:b/>
      <w:bCs/>
      <w:i/>
      <w:iCs/>
      <w:color w:val="4F81BD"/>
      <w:sz w:val="20"/>
      <w:szCs w:val="22"/>
      <w:lang w:val="x-none" w:eastAsia="x-none"/>
    </w:rPr>
  </w:style>
  <w:style w:type="paragraph" w:styleId="Titre5">
    <w:name w:val="heading 5"/>
    <w:aliases w:val="H5,mh2,Module heading 2,h5,Numbered Sub-list"/>
    <w:basedOn w:val="Normal"/>
    <w:next w:val="Retraitnormal"/>
    <w:link w:val="Titre5Car"/>
    <w:qFormat/>
    <w:rsid w:val="007C3386"/>
    <w:pPr>
      <w:numPr>
        <w:ilvl w:val="4"/>
        <w:numId w:val="3"/>
      </w:numPr>
      <w:spacing w:line="280" w:lineRule="exact"/>
      <w:jc w:val="both"/>
      <w:outlineLvl w:val="4"/>
    </w:pPr>
    <w:rPr>
      <w:b/>
      <w:bCs/>
      <w:sz w:val="20"/>
      <w:lang w:val="x-none" w:eastAsia="x-none"/>
    </w:rPr>
  </w:style>
  <w:style w:type="paragraph" w:styleId="Titre6">
    <w:name w:val="heading 6"/>
    <w:basedOn w:val="Normal"/>
    <w:next w:val="Normal"/>
    <w:link w:val="Titre6Car"/>
    <w:uiPriority w:val="9"/>
    <w:unhideWhenUsed/>
    <w:qFormat/>
    <w:rsid w:val="003250F7"/>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3250F7"/>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3250F7"/>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250F7"/>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1 Car"/>
    <w:basedOn w:val="Policepardfaut"/>
    <w:link w:val="Titre1"/>
    <w:uiPriority w:val="9"/>
    <w:rsid w:val="003566DA"/>
    <w:rPr>
      <w:rFonts w:asciiTheme="majorHAnsi" w:eastAsiaTheme="majorEastAsia" w:hAnsiTheme="majorHAnsi" w:cstheme="majorBidi"/>
      <w:b/>
      <w:bCs/>
      <w:color w:val="8064A2" w:themeColor="accent4"/>
      <w:sz w:val="26"/>
      <w:szCs w:val="26"/>
    </w:rPr>
  </w:style>
  <w:style w:type="character" w:customStyle="1" w:styleId="Titre2Car">
    <w:name w:val="Titre 2 Car"/>
    <w:aliases w:val="Titre § 2 Car,l2 Car,prop2 Car,h2 Car,Arial 12 Fett Kursiv Car,H2 Car,Heading2 Car,Abschnitt Car,paragraphe Car,I2 Car,Titre 21 Car,t2.T2 Car,Titre 2bis Car,nul Car,Titre 2bis1 Car,nul1 Car,2 Car,2nd level Car,Header 2 Car,Head 2 Car,1.1 Car"/>
    <w:basedOn w:val="Policepardfaut"/>
    <w:link w:val="Titre2"/>
    <w:uiPriority w:val="9"/>
    <w:rsid w:val="00C21CBF"/>
    <w:rPr>
      <w:rFonts w:asciiTheme="majorHAnsi" w:eastAsiaTheme="majorEastAsia" w:hAnsiTheme="majorHAnsi" w:cstheme="majorBidi"/>
      <w:b/>
      <w:bCs/>
      <w:color w:val="4F81BD" w:themeColor="accent1"/>
      <w:sz w:val="26"/>
      <w:szCs w:val="26"/>
    </w:rPr>
  </w:style>
  <w:style w:type="character" w:customStyle="1" w:styleId="Titre3Car">
    <w:name w:val="Titre 3 Car"/>
    <w:aliases w:val="Titre § 3 Car,prop3 Car,h3 Car,h31 Car,h32 Car,h33 Car,h34 Car,h35 Car,h36 Car,h37 Car,h38 Car,h39 Car,h310 Car,h311 Car,h321 Car,h331 Car,h341 Car,h351 Car,h361 Car,h371 Car,h381 Car,h312 Car,h322 Car,h332 Car,h342 Car,h352 Car,h362 Car"/>
    <w:basedOn w:val="Policepardfaut"/>
    <w:link w:val="Titre3"/>
    <w:rsid w:val="00D000F1"/>
    <w:rPr>
      <w:rFonts w:asciiTheme="majorHAnsi" w:eastAsiaTheme="majorEastAsia" w:hAnsiTheme="majorHAnsi" w:cstheme="majorBidi"/>
      <w:b/>
      <w:bCs/>
      <w:color w:val="4F81BD" w:themeColor="accent1"/>
      <w:sz w:val="20"/>
      <w:szCs w:val="20"/>
      <w:lang w:eastAsia="fr-FR"/>
    </w:rPr>
  </w:style>
  <w:style w:type="character" w:customStyle="1" w:styleId="Titre4Car">
    <w:name w:val="Titre 4 Car"/>
    <w:aliases w:val="Titre § 4 Car,(annexe) Car,H4 Car,h4 Car,h41 Car,h42 Car,h43 Car,h411 Car,h44 Car,h412 Car,h45 Car,h413 Car,h46 Car,h414 Car,h47 Car,h48 Car,h415 Car,h49 Car,h410 Car,h416 Car,h417 Car,h418 Car,h419 Car,h420 Car,h4110 Car,h421 Car,h422 Car"/>
    <w:basedOn w:val="Policepardfaut"/>
    <w:link w:val="Titre4"/>
    <w:rsid w:val="00E5586C"/>
    <w:rPr>
      <w:rFonts w:asciiTheme="majorHAnsi" w:eastAsia="Times New Roman" w:hAnsiTheme="majorHAnsi" w:cs="Times New Roman"/>
      <w:b/>
      <w:bCs/>
      <w:i/>
      <w:iCs/>
      <w:color w:val="4F81BD"/>
      <w:sz w:val="20"/>
      <w:lang w:val="x-none" w:eastAsia="x-none"/>
    </w:rPr>
  </w:style>
  <w:style w:type="paragraph" w:styleId="Retraitnormal">
    <w:name w:val="Normal Indent"/>
    <w:basedOn w:val="Normal"/>
    <w:uiPriority w:val="99"/>
    <w:semiHidden/>
    <w:unhideWhenUsed/>
    <w:rsid w:val="007C3386"/>
    <w:pPr>
      <w:ind w:left="708"/>
    </w:pPr>
  </w:style>
  <w:style w:type="character" w:customStyle="1" w:styleId="Titre5Car">
    <w:name w:val="Titre 5 Car"/>
    <w:aliases w:val="H5 Car,mh2 Car,Module heading 2 Car,h5 Car,Numbered Sub-list Car"/>
    <w:basedOn w:val="Policepardfaut"/>
    <w:link w:val="Titre5"/>
    <w:rsid w:val="007C3386"/>
    <w:rPr>
      <w:rFonts w:ascii="Arial" w:eastAsia="Times New Roman" w:hAnsi="Arial" w:cs="Times New Roman"/>
      <w:b/>
      <w:bCs/>
      <w:sz w:val="20"/>
      <w:szCs w:val="20"/>
      <w:lang w:val="x-none" w:eastAsia="x-none"/>
    </w:rPr>
  </w:style>
  <w:style w:type="character" w:customStyle="1" w:styleId="Titre6Car">
    <w:name w:val="Titre 6 Car"/>
    <w:basedOn w:val="Policepardfaut"/>
    <w:link w:val="Titre6"/>
    <w:uiPriority w:val="9"/>
    <w:rsid w:val="003250F7"/>
    <w:rPr>
      <w:rFonts w:asciiTheme="majorHAnsi" w:eastAsiaTheme="majorEastAsia" w:hAnsiTheme="majorHAnsi" w:cstheme="majorBidi"/>
      <w:color w:val="243F60" w:themeColor="accent1" w:themeShade="7F"/>
      <w:sz w:val="18"/>
      <w:szCs w:val="20"/>
      <w:lang w:eastAsia="fr-FR"/>
    </w:rPr>
  </w:style>
  <w:style w:type="character" w:customStyle="1" w:styleId="Titre7Car">
    <w:name w:val="Titre 7 Car"/>
    <w:basedOn w:val="Policepardfaut"/>
    <w:link w:val="Titre7"/>
    <w:uiPriority w:val="9"/>
    <w:rsid w:val="003250F7"/>
    <w:rPr>
      <w:rFonts w:asciiTheme="majorHAnsi" w:eastAsiaTheme="majorEastAsia" w:hAnsiTheme="majorHAnsi" w:cstheme="majorBidi"/>
      <w:i/>
      <w:iCs/>
      <w:color w:val="243F60" w:themeColor="accent1" w:themeShade="7F"/>
      <w:sz w:val="18"/>
      <w:szCs w:val="20"/>
      <w:lang w:eastAsia="fr-FR"/>
    </w:rPr>
  </w:style>
  <w:style w:type="character" w:customStyle="1" w:styleId="Titre8Car">
    <w:name w:val="Titre 8 Car"/>
    <w:basedOn w:val="Policepardfaut"/>
    <w:link w:val="Titre8"/>
    <w:uiPriority w:val="9"/>
    <w:semiHidden/>
    <w:rsid w:val="003250F7"/>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3250F7"/>
    <w:rPr>
      <w:rFonts w:asciiTheme="majorHAnsi" w:eastAsiaTheme="majorEastAsia" w:hAnsiTheme="majorHAnsi" w:cstheme="majorBidi"/>
      <w:i/>
      <w:iCs/>
      <w:color w:val="272727" w:themeColor="text1" w:themeTint="D8"/>
      <w:sz w:val="21"/>
      <w:szCs w:val="21"/>
      <w:lang w:eastAsia="fr-FR"/>
    </w:rPr>
  </w:style>
  <w:style w:type="paragraph" w:styleId="TM1">
    <w:name w:val="toc 1"/>
    <w:basedOn w:val="Normal"/>
    <w:next w:val="Normal"/>
    <w:uiPriority w:val="39"/>
    <w:rsid w:val="00D928E4"/>
    <w:pPr>
      <w:spacing w:before="120" w:after="120"/>
    </w:pPr>
    <w:rPr>
      <w:rFonts w:ascii="Times New Roman" w:hAnsi="Times New Roman"/>
      <w:b/>
      <w:bCs/>
      <w:caps/>
      <w:color w:val="FF6600"/>
      <w:sz w:val="20"/>
    </w:rPr>
  </w:style>
  <w:style w:type="paragraph" w:styleId="TM2">
    <w:name w:val="toc 2"/>
    <w:basedOn w:val="Normal"/>
    <w:next w:val="Normal"/>
    <w:uiPriority w:val="39"/>
    <w:rsid w:val="00D928E4"/>
    <w:pPr>
      <w:ind w:left="180"/>
    </w:pPr>
    <w:rPr>
      <w:rFonts w:ascii="Times New Roman" w:hAnsi="Times New Roman"/>
      <w:smallCaps/>
      <w:color w:val="0000FF"/>
      <w:sz w:val="20"/>
    </w:rPr>
  </w:style>
  <w:style w:type="character" w:styleId="Lienhypertexte">
    <w:name w:val="Hyperlink"/>
    <w:basedOn w:val="Policepardfaut"/>
    <w:uiPriority w:val="99"/>
    <w:rsid w:val="00D928E4"/>
    <w:rPr>
      <w:color w:val="0000FF"/>
      <w:u w:val="single"/>
    </w:rPr>
  </w:style>
  <w:style w:type="paragraph" w:customStyle="1" w:styleId="Tabledesmatieres">
    <w:name w:val="Table des matieres"/>
    <w:basedOn w:val="Normal"/>
    <w:link w:val="TabledesmatieresCar"/>
    <w:qFormat/>
    <w:rsid w:val="00D928E4"/>
    <w:pPr>
      <w:jc w:val="center"/>
    </w:pPr>
    <w:rPr>
      <w:b/>
      <w:bCs/>
      <w:sz w:val="32"/>
      <w:szCs w:val="32"/>
    </w:rPr>
  </w:style>
  <w:style w:type="character" w:customStyle="1" w:styleId="TabledesmatieresCar">
    <w:name w:val="Table des matieres Car"/>
    <w:basedOn w:val="Policepardfaut"/>
    <w:link w:val="Tabledesmatieres"/>
    <w:rsid w:val="00D928E4"/>
    <w:rPr>
      <w:rFonts w:ascii="Tahoma" w:eastAsia="Times New Roman" w:hAnsi="Tahoma" w:cs="Times New Roman"/>
      <w:b/>
      <w:bCs/>
      <w:sz w:val="32"/>
      <w:szCs w:val="32"/>
      <w:lang w:eastAsia="fr-FR"/>
    </w:rPr>
  </w:style>
  <w:style w:type="paragraph" w:customStyle="1" w:styleId="titredoc">
    <w:name w:val="titre doc"/>
    <w:basedOn w:val="Normal"/>
    <w:link w:val="titredocCar"/>
    <w:qFormat/>
    <w:rsid w:val="00D928E4"/>
    <w:pPr>
      <w:shd w:val="clear" w:color="auto" w:fill="BFBFBF"/>
      <w:jc w:val="center"/>
    </w:pPr>
    <w:rPr>
      <w:b/>
      <w:bCs/>
      <w:color w:val="0000FF"/>
      <w:sz w:val="48"/>
      <w:szCs w:val="48"/>
    </w:rPr>
  </w:style>
  <w:style w:type="character" w:customStyle="1" w:styleId="titredocCar">
    <w:name w:val="titre doc Car"/>
    <w:basedOn w:val="Policepardfaut"/>
    <w:link w:val="titredoc"/>
    <w:rsid w:val="00D928E4"/>
    <w:rPr>
      <w:rFonts w:ascii="Tahoma" w:eastAsia="Times New Roman" w:hAnsi="Tahoma" w:cs="Times New Roman"/>
      <w:b/>
      <w:bCs/>
      <w:color w:val="0000FF"/>
      <w:sz w:val="48"/>
      <w:szCs w:val="48"/>
      <w:shd w:val="clear" w:color="auto" w:fill="BFBFBF"/>
      <w:lang w:eastAsia="fr-FR"/>
    </w:rPr>
  </w:style>
  <w:style w:type="paragraph" w:customStyle="1" w:styleId="soustitredoc">
    <w:name w:val="sous titre doc"/>
    <w:basedOn w:val="Normal"/>
    <w:link w:val="soustitredocCar"/>
    <w:qFormat/>
    <w:rsid w:val="00D928E4"/>
    <w:pPr>
      <w:shd w:val="clear" w:color="auto" w:fill="BFBFBF"/>
    </w:pPr>
    <w:rPr>
      <w:b/>
      <w:bCs/>
      <w:color w:val="008000"/>
      <w:sz w:val="48"/>
      <w:szCs w:val="48"/>
    </w:rPr>
  </w:style>
  <w:style w:type="character" w:customStyle="1" w:styleId="soustitredocCar">
    <w:name w:val="sous titre doc Car"/>
    <w:basedOn w:val="Policepardfaut"/>
    <w:link w:val="soustitredoc"/>
    <w:rsid w:val="00D928E4"/>
    <w:rPr>
      <w:rFonts w:ascii="Tahoma" w:eastAsia="Times New Roman" w:hAnsi="Tahoma" w:cs="Times New Roman"/>
      <w:b/>
      <w:bCs/>
      <w:color w:val="008000"/>
      <w:sz w:val="48"/>
      <w:szCs w:val="48"/>
      <w:shd w:val="clear" w:color="auto" w:fill="BFBFBF"/>
      <w:lang w:eastAsia="fr-FR"/>
    </w:rPr>
  </w:style>
  <w:style w:type="paragraph" w:styleId="Paragraphedeliste">
    <w:name w:val="List Paragraph"/>
    <w:basedOn w:val="Normal"/>
    <w:link w:val="ParagraphedelisteCar"/>
    <w:uiPriority w:val="34"/>
    <w:qFormat/>
    <w:rsid w:val="00D928E4"/>
    <w:pPr>
      <w:ind w:left="720"/>
      <w:contextualSpacing/>
    </w:pPr>
  </w:style>
  <w:style w:type="character" w:customStyle="1" w:styleId="ParagraphedelisteCar">
    <w:name w:val="Paragraphe de liste Car"/>
    <w:basedOn w:val="Policepardfaut"/>
    <w:link w:val="Paragraphedeliste"/>
    <w:uiPriority w:val="34"/>
    <w:rsid w:val="00D928E4"/>
    <w:rPr>
      <w:rFonts w:ascii="Tahoma" w:eastAsia="Times New Roman" w:hAnsi="Tahoma" w:cs="Times New Roman"/>
      <w:sz w:val="18"/>
      <w:szCs w:val="20"/>
      <w:lang w:eastAsia="fr-FR"/>
    </w:rPr>
  </w:style>
  <w:style w:type="table" w:styleId="Grilledutableau">
    <w:name w:val="Table Grid"/>
    <w:basedOn w:val="TableauNormal"/>
    <w:rsid w:val="00D928E4"/>
    <w:pPr>
      <w:spacing w:after="0" w:line="240" w:lineRule="auto"/>
    </w:pPr>
    <w:rPr>
      <w:rFonts w:ascii="MS Sans Serif" w:eastAsia="Times New Roman" w:hAnsi="MS Sans Serif"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928E4"/>
    <w:rPr>
      <w:rFonts w:cs="Tahoma"/>
      <w:sz w:val="16"/>
      <w:szCs w:val="16"/>
    </w:rPr>
  </w:style>
  <w:style w:type="character" w:customStyle="1" w:styleId="TextedebullesCar">
    <w:name w:val="Texte de bulles Car"/>
    <w:basedOn w:val="Policepardfaut"/>
    <w:link w:val="Textedebulles"/>
    <w:uiPriority w:val="99"/>
    <w:semiHidden/>
    <w:rsid w:val="00D928E4"/>
    <w:rPr>
      <w:rFonts w:ascii="Tahoma" w:eastAsia="Times New Roman" w:hAnsi="Tahoma" w:cs="Tahoma"/>
      <w:sz w:val="16"/>
      <w:szCs w:val="16"/>
      <w:lang w:eastAsia="fr-FR"/>
    </w:rPr>
  </w:style>
  <w:style w:type="paragraph" w:styleId="En-tte">
    <w:name w:val="header"/>
    <w:basedOn w:val="Normal"/>
    <w:link w:val="En-tteCar"/>
    <w:uiPriority w:val="99"/>
    <w:unhideWhenUsed/>
    <w:rsid w:val="00FA4246"/>
    <w:pPr>
      <w:tabs>
        <w:tab w:val="center" w:pos="4536"/>
        <w:tab w:val="right" w:pos="9072"/>
      </w:tabs>
    </w:pPr>
  </w:style>
  <w:style w:type="character" w:customStyle="1" w:styleId="En-tteCar">
    <w:name w:val="En-tête Car"/>
    <w:basedOn w:val="Policepardfaut"/>
    <w:link w:val="En-tte"/>
    <w:uiPriority w:val="99"/>
    <w:rsid w:val="00FA4246"/>
    <w:rPr>
      <w:rFonts w:ascii="Tahoma" w:eastAsia="Times New Roman" w:hAnsi="Tahoma" w:cs="Times New Roman"/>
      <w:sz w:val="18"/>
      <w:szCs w:val="20"/>
      <w:lang w:eastAsia="fr-FR"/>
    </w:rPr>
  </w:style>
  <w:style w:type="paragraph" w:styleId="Pieddepage">
    <w:name w:val="footer"/>
    <w:basedOn w:val="Normal"/>
    <w:link w:val="PieddepageCar"/>
    <w:unhideWhenUsed/>
    <w:rsid w:val="00FA4246"/>
    <w:pPr>
      <w:tabs>
        <w:tab w:val="center" w:pos="4536"/>
        <w:tab w:val="right" w:pos="9072"/>
      </w:tabs>
    </w:pPr>
  </w:style>
  <w:style w:type="character" w:customStyle="1" w:styleId="PieddepageCar">
    <w:name w:val="Pied de page Car"/>
    <w:basedOn w:val="Policepardfaut"/>
    <w:link w:val="Pieddepage"/>
    <w:rsid w:val="00FA4246"/>
    <w:rPr>
      <w:rFonts w:ascii="Tahoma" w:eastAsia="Times New Roman" w:hAnsi="Tahoma" w:cs="Times New Roman"/>
      <w:sz w:val="18"/>
      <w:szCs w:val="20"/>
      <w:lang w:eastAsia="fr-FR"/>
    </w:rPr>
  </w:style>
  <w:style w:type="character" w:customStyle="1" w:styleId="sectionheadertext1">
    <w:name w:val="sectionheadertext1"/>
    <w:basedOn w:val="Policepardfaut"/>
    <w:rsid w:val="00DF60C0"/>
    <w:rPr>
      <w:vanish w:val="0"/>
      <w:webHidden w:val="0"/>
      <w:specVanish w:val="0"/>
    </w:rPr>
  </w:style>
  <w:style w:type="paragraph" w:styleId="TM3">
    <w:name w:val="toc 3"/>
    <w:basedOn w:val="Normal"/>
    <w:next w:val="Normal"/>
    <w:autoRedefine/>
    <w:uiPriority w:val="39"/>
    <w:unhideWhenUsed/>
    <w:rsid w:val="00971E56"/>
    <w:pPr>
      <w:ind w:left="360"/>
    </w:pPr>
  </w:style>
  <w:style w:type="table" w:customStyle="1" w:styleId="Grilledutableau1">
    <w:name w:val="Grille du tableau1"/>
    <w:basedOn w:val="TableauNormal"/>
    <w:next w:val="Grilledutableau"/>
    <w:rsid w:val="00D072F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1C0D9D"/>
    <w:rPr>
      <w:sz w:val="20"/>
    </w:rPr>
  </w:style>
  <w:style w:type="character" w:customStyle="1" w:styleId="NotedebasdepageCar">
    <w:name w:val="Note de bas de page Car"/>
    <w:basedOn w:val="Policepardfaut"/>
    <w:link w:val="Notedebasdepage"/>
    <w:uiPriority w:val="99"/>
    <w:rsid w:val="001C0D9D"/>
    <w:rPr>
      <w:rFonts w:ascii="Tahoma" w:eastAsia="Times New Roman" w:hAnsi="Tahoma" w:cs="Times New Roman"/>
      <w:sz w:val="20"/>
      <w:szCs w:val="20"/>
      <w:lang w:eastAsia="fr-FR"/>
    </w:rPr>
  </w:style>
  <w:style w:type="character" w:styleId="Appelnotedebasdep">
    <w:name w:val="footnote reference"/>
    <w:basedOn w:val="Policepardfaut"/>
    <w:uiPriority w:val="99"/>
    <w:semiHidden/>
    <w:unhideWhenUsed/>
    <w:rsid w:val="001C0D9D"/>
    <w:rPr>
      <w:vertAlign w:val="superscript"/>
    </w:rPr>
  </w:style>
  <w:style w:type="character" w:styleId="Marquedecommentaire">
    <w:name w:val="annotation reference"/>
    <w:basedOn w:val="Policepardfaut"/>
    <w:uiPriority w:val="99"/>
    <w:unhideWhenUsed/>
    <w:rsid w:val="00640E7A"/>
    <w:rPr>
      <w:sz w:val="16"/>
      <w:szCs w:val="16"/>
    </w:rPr>
  </w:style>
  <w:style w:type="paragraph" w:styleId="Commentaire">
    <w:name w:val="annotation text"/>
    <w:basedOn w:val="Normal"/>
    <w:link w:val="CommentaireCar"/>
    <w:uiPriority w:val="99"/>
    <w:unhideWhenUsed/>
    <w:rsid w:val="00640E7A"/>
    <w:rPr>
      <w:sz w:val="20"/>
    </w:rPr>
  </w:style>
  <w:style w:type="character" w:customStyle="1" w:styleId="CommentaireCar">
    <w:name w:val="Commentaire Car"/>
    <w:basedOn w:val="Policepardfaut"/>
    <w:link w:val="Commentaire"/>
    <w:uiPriority w:val="99"/>
    <w:rsid w:val="00640E7A"/>
    <w:rPr>
      <w:rFonts w:ascii="Tahoma" w:eastAsia="Times New Roman" w:hAnsi="Tahoma"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40E7A"/>
    <w:rPr>
      <w:b/>
      <w:bCs/>
    </w:rPr>
  </w:style>
  <w:style w:type="character" w:customStyle="1" w:styleId="ObjetducommentaireCar">
    <w:name w:val="Objet du commentaire Car"/>
    <w:basedOn w:val="CommentaireCar"/>
    <w:link w:val="Objetducommentaire"/>
    <w:uiPriority w:val="99"/>
    <w:semiHidden/>
    <w:rsid w:val="00640E7A"/>
    <w:rPr>
      <w:rFonts w:ascii="Tahoma" w:eastAsia="Times New Roman" w:hAnsi="Tahoma" w:cs="Times New Roman"/>
      <w:b/>
      <w:bCs/>
      <w:sz w:val="20"/>
      <w:szCs w:val="20"/>
      <w:lang w:eastAsia="fr-FR"/>
    </w:rPr>
  </w:style>
  <w:style w:type="character" w:styleId="Lienhypertextesuivivisit">
    <w:name w:val="FollowedHyperlink"/>
    <w:basedOn w:val="Policepardfaut"/>
    <w:uiPriority w:val="99"/>
    <w:semiHidden/>
    <w:unhideWhenUsed/>
    <w:rsid w:val="005A32BF"/>
    <w:rPr>
      <w:color w:val="800080" w:themeColor="followedHyperlink"/>
      <w:u w:val="single"/>
    </w:rPr>
  </w:style>
  <w:style w:type="paragraph" w:styleId="z-Hautduformulaire">
    <w:name w:val="HTML Top of Form"/>
    <w:basedOn w:val="Normal"/>
    <w:next w:val="Normal"/>
    <w:link w:val="z-HautduformulaireCar"/>
    <w:hidden/>
    <w:uiPriority w:val="99"/>
    <w:semiHidden/>
    <w:unhideWhenUsed/>
    <w:rsid w:val="00A619F8"/>
    <w:pPr>
      <w:pBdr>
        <w:bottom w:val="single" w:sz="6" w:space="1" w:color="auto"/>
      </w:pBdr>
      <w:jc w:val="center"/>
    </w:pPr>
    <w:rPr>
      <w:rFonts w:cs="Arial"/>
      <w:vanish/>
      <w:sz w:val="16"/>
      <w:szCs w:val="16"/>
    </w:rPr>
  </w:style>
  <w:style w:type="character" w:customStyle="1" w:styleId="z-HautduformulaireCar">
    <w:name w:val="z-Haut du formulaire Car"/>
    <w:basedOn w:val="Policepardfaut"/>
    <w:link w:val="z-Hautduformulaire"/>
    <w:uiPriority w:val="99"/>
    <w:semiHidden/>
    <w:rsid w:val="00A619F8"/>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A619F8"/>
    <w:pPr>
      <w:pBdr>
        <w:top w:val="single" w:sz="6" w:space="1" w:color="auto"/>
      </w:pBdr>
      <w:jc w:val="center"/>
    </w:pPr>
    <w:rPr>
      <w:rFonts w:cs="Arial"/>
      <w:vanish/>
      <w:sz w:val="16"/>
      <w:szCs w:val="16"/>
    </w:rPr>
  </w:style>
  <w:style w:type="character" w:customStyle="1" w:styleId="z-BasduformulaireCar">
    <w:name w:val="z-Bas du formulaire Car"/>
    <w:basedOn w:val="Policepardfaut"/>
    <w:link w:val="z-Basduformulaire"/>
    <w:uiPriority w:val="99"/>
    <w:rsid w:val="00A619F8"/>
    <w:rPr>
      <w:rFonts w:ascii="Arial" w:eastAsia="Times New Roman" w:hAnsi="Arial" w:cs="Arial"/>
      <w:vanish/>
      <w:sz w:val="16"/>
      <w:szCs w:val="16"/>
      <w:lang w:eastAsia="fr-FR"/>
    </w:rPr>
  </w:style>
  <w:style w:type="character" w:customStyle="1" w:styleId="ng-binding">
    <w:name w:val="ng-binding"/>
    <w:basedOn w:val="Policepardfaut"/>
    <w:rsid w:val="00E815EC"/>
  </w:style>
  <w:style w:type="paragraph" w:customStyle="1" w:styleId="DecimalAligned">
    <w:name w:val="Decimal Aligned"/>
    <w:basedOn w:val="Normal"/>
    <w:uiPriority w:val="40"/>
    <w:qFormat/>
    <w:rsid w:val="00E85A08"/>
    <w:pPr>
      <w:tabs>
        <w:tab w:val="decimal" w:pos="360"/>
      </w:tabs>
      <w:spacing w:after="200" w:line="276" w:lineRule="auto"/>
    </w:pPr>
    <w:rPr>
      <w:rFonts w:asciiTheme="minorHAnsi" w:eastAsiaTheme="minorHAnsi" w:hAnsiTheme="minorHAnsi" w:cstheme="minorBidi"/>
      <w:sz w:val="22"/>
      <w:szCs w:val="22"/>
    </w:rPr>
  </w:style>
  <w:style w:type="character" w:styleId="Accentuationlgre">
    <w:name w:val="Subtle Emphasis"/>
    <w:basedOn w:val="Policepardfaut"/>
    <w:uiPriority w:val="19"/>
    <w:qFormat/>
    <w:rsid w:val="00E85A08"/>
    <w:rPr>
      <w:i/>
      <w:iCs/>
      <w:color w:val="7F7F7F" w:themeColor="text1" w:themeTint="80"/>
    </w:rPr>
  </w:style>
  <w:style w:type="table" w:styleId="Tramemoyenne2-Accent5">
    <w:name w:val="Medium Shading 2 Accent 5"/>
    <w:basedOn w:val="TableauNormal"/>
    <w:uiPriority w:val="64"/>
    <w:rsid w:val="00E85A08"/>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extecourant">
    <w:name w:val="texte courant"/>
    <w:basedOn w:val="Normal"/>
    <w:link w:val="textecourantCar"/>
    <w:rsid w:val="00D40EFC"/>
    <w:pPr>
      <w:spacing w:before="40" w:after="40" w:line="270" w:lineRule="exact"/>
      <w:ind w:firstLine="680"/>
      <w:jc w:val="both"/>
    </w:pPr>
    <w:rPr>
      <w:sz w:val="22"/>
    </w:rPr>
  </w:style>
  <w:style w:type="character" w:customStyle="1" w:styleId="textecourantCar">
    <w:name w:val="texte courant Car"/>
    <w:link w:val="textecourant"/>
    <w:rsid w:val="00D40EFC"/>
    <w:rPr>
      <w:rFonts w:ascii="Arial" w:eastAsia="Times New Roman" w:hAnsi="Arial" w:cs="Times New Roman"/>
      <w:szCs w:val="20"/>
      <w:lang w:eastAsia="fr-FR"/>
    </w:rPr>
  </w:style>
  <w:style w:type="character" w:styleId="Accentuation">
    <w:name w:val="Emphasis"/>
    <w:basedOn w:val="Policepardfaut"/>
    <w:qFormat/>
    <w:rsid w:val="00D40EFC"/>
    <w:rPr>
      <w:i/>
      <w:iCs/>
    </w:rPr>
  </w:style>
  <w:style w:type="paragraph" w:styleId="En-ttedetabledesmatires">
    <w:name w:val="TOC Heading"/>
    <w:basedOn w:val="Titre1"/>
    <w:next w:val="Normal"/>
    <w:uiPriority w:val="39"/>
    <w:unhideWhenUsed/>
    <w:qFormat/>
    <w:rsid w:val="005E720F"/>
    <w:pPr>
      <w:numPr>
        <w:numId w:val="0"/>
      </w:numPr>
      <w:spacing w:before="480" w:after="0"/>
      <w:outlineLvl w:val="9"/>
    </w:pPr>
    <w:rPr>
      <w:bCs w:val="0"/>
    </w:rPr>
  </w:style>
  <w:style w:type="table" w:styleId="Tramemoyenne1-Accent1">
    <w:name w:val="Medium Shading 1 Accent 1"/>
    <w:basedOn w:val="TableauNormal"/>
    <w:uiPriority w:val="63"/>
    <w:rsid w:val="00C97ED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vision">
    <w:name w:val="Revision"/>
    <w:hidden/>
    <w:uiPriority w:val="99"/>
    <w:semiHidden/>
    <w:rsid w:val="00531AD7"/>
    <w:pPr>
      <w:spacing w:after="0" w:line="240" w:lineRule="auto"/>
    </w:pPr>
    <w:rPr>
      <w:rFonts w:ascii="Tahoma" w:eastAsia="Times New Roman" w:hAnsi="Tahoma" w:cs="Times New Roman"/>
      <w:sz w:val="18"/>
      <w:szCs w:val="20"/>
      <w:lang w:eastAsia="fr-FR"/>
    </w:rPr>
  </w:style>
  <w:style w:type="table" w:styleId="Trameclaire-Accent1">
    <w:name w:val="Light Shading Accent 1"/>
    <w:basedOn w:val="TableauNormal"/>
    <w:uiPriority w:val="60"/>
    <w:rsid w:val="007650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1-NormalPuceD">
    <w:name w:val="1 - NormalPuce D"/>
    <w:basedOn w:val="Listecontinue2"/>
    <w:rsid w:val="00C86E74"/>
    <w:pPr>
      <w:numPr>
        <w:numId w:val="1"/>
      </w:numPr>
      <w:autoSpaceDE w:val="0"/>
      <w:autoSpaceDN w:val="0"/>
      <w:spacing w:before="80" w:after="80"/>
      <w:contextualSpacing w:val="0"/>
      <w:jc w:val="both"/>
    </w:pPr>
    <w:rPr>
      <w:rFonts w:ascii="Times New Roman" w:hAnsi="Times New Roman"/>
      <w:sz w:val="22"/>
    </w:rPr>
  </w:style>
  <w:style w:type="paragraph" w:styleId="Listecontinue2">
    <w:name w:val="List Continue 2"/>
    <w:basedOn w:val="Normal"/>
    <w:uiPriority w:val="99"/>
    <w:semiHidden/>
    <w:unhideWhenUsed/>
    <w:rsid w:val="00C86E74"/>
    <w:pPr>
      <w:spacing w:after="120"/>
      <w:ind w:left="566"/>
      <w:contextualSpacing/>
    </w:pPr>
  </w:style>
  <w:style w:type="paragraph" w:customStyle="1" w:styleId="Default">
    <w:name w:val="Default"/>
    <w:rsid w:val="00DE374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81CB8"/>
    <w:rPr>
      <w:rFonts w:ascii="Times New Roman" w:hAnsi="Times New Roman"/>
      <w:sz w:val="24"/>
      <w:szCs w:val="24"/>
    </w:rPr>
  </w:style>
  <w:style w:type="table" w:styleId="Listeclaire-Accent1">
    <w:name w:val="Light List Accent 1"/>
    <w:basedOn w:val="TableauNormal"/>
    <w:uiPriority w:val="61"/>
    <w:rsid w:val="001867F8"/>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ormallo">
    <w:name w:val="normallo"/>
    <w:link w:val="normalloCar"/>
    <w:rsid w:val="00663547"/>
    <w:pPr>
      <w:spacing w:after="0" w:line="260" w:lineRule="exact"/>
      <w:jc w:val="both"/>
    </w:pPr>
    <w:rPr>
      <w:rFonts w:ascii="Tahoma" w:eastAsia="Times New Roman" w:hAnsi="Tahoma" w:cs="Tahoma"/>
      <w:noProof/>
      <w:sz w:val="18"/>
      <w:szCs w:val="18"/>
      <w:lang w:eastAsia="fr-FR"/>
    </w:rPr>
  </w:style>
  <w:style w:type="character" w:customStyle="1" w:styleId="normalloCar">
    <w:name w:val="normallo Car"/>
    <w:link w:val="normallo"/>
    <w:locked/>
    <w:rsid w:val="00663547"/>
    <w:rPr>
      <w:rFonts w:ascii="Tahoma" w:eastAsia="Times New Roman" w:hAnsi="Tahoma" w:cs="Tahoma"/>
      <w:noProof/>
      <w:sz w:val="18"/>
      <w:szCs w:val="18"/>
      <w:lang w:eastAsia="fr-FR"/>
    </w:rPr>
  </w:style>
  <w:style w:type="paragraph" w:styleId="Titre">
    <w:name w:val="Title"/>
    <w:basedOn w:val="Normal"/>
    <w:next w:val="Normal"/>
    <w:link w:val="TitreCar"/>
    <w:uiPriority w:val="10"/>
    <w:qFormat/>
    <w:rsid w:val="00C21C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21CBF"/>
    <w:rPr>
      <w:rFonts w:asciiTheme="majorHAnsi" w:eastAsiaTheme="majorEastAsia" w:hAnsiTheme="majorHAnsi" w:cstheme="majorBidi"/>
      <w:color w:val="17365D" w:themeColor="text2" w:themeShade="BF"/>
      <w:spacing w:val="5"/>
      <w:kern w:val="28"/>
      <w:sz w:val="52"/>
      <w:szCs w:val="52"/>
      <w:lang w:eastAsia="fr-FR"/>
    </w:rPr>
  </w:style>
  <w:style w:type="table" w:styleId="Grilleclaire-Accent1">
    <w:name w:val="Light Grid Accent 1"/>
    <w:basedOn w:val="TableauNormal"/>
    <w:uiPriority w:val="62"/>
    <w:rsid w:val="0096338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Numrodepage">
    <w:name w:val="page number"/>
    <w:basedOn w:val="Policepardfaut"/>
    <w:rsid w:val="005D150D"/>
  </w:style>
  <w:style w:type="character" w:customStyle="1" w:styleId="Mentionnonrsolue1">
    <w:name w:val="Mention non résolue1"/>
    <w:basedOn w:val="Policepardfaut"/>
    <w:uiPriority w:val="99"/>
    <w:semiHidden/>
    <w:unhideWhenUsed/>
    <w:rsid w:val="00233665"/>
    <w:rPr>
      <w:color w:val="605E5C"/>
      <w:shd w:val="clear" w:color="auto" w:fill="E1DFDD"/>
    </w:rPr>
  </w:style>
  <w:style w:type="table" w:customStyle="1" w:styleId="Grilledutableau2">
    <w:name w:val="Grille du tableau2"/>
    <w:basedOn w:val="TableauNormal"/>
    <w:next w:val="Grilledutableau"/>
    <w:rsid w:val="00380C05"/>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3051">
      <w:bodyDiv w:val="1"/>
      <w:marLeft w:val="0"/>
      <w:marRight w:val="0"/>
      <w:marTop w:val="0"/>
      <w:marBottom w:val="0"/>
      <w:divBdr>
        <w:top w:val="none" w:sz="0" w:space="0" w:color="auto"/>
        <w:left w:val="none" w:sz="0" w:space="0" w:color="auto"/>
        <w:bottom w:val="none" w:sz="0" w:space="0" w:color="auto"/>
        <w:right w:val="none" w:sz="0" w:space="0" w:color="auto"/>
      </w:divBdr>
    </w:div>
    <w:div w:id="8990394">
      <w:bodyDiv w:val="1"/>
      <w:marLeft w:val="0"/>
      <w:marRight w:val="0"/>
      <w:marTop w:val="0"/>
      <w:marBottom w:val="0"/>
      <w:divBdr>
        <w:top w:val="none" w:sz="0" w:space="0" w:color="auto"/>
        <w:left w:val="none" w:sz="0" w:space="0" w:color="auto"/>
        <w:bottom w:val="none" w:sz="0" w:space="0" w:color="auto"/>
        <w:right w:val="none" w:sz="0" w:space="0" w:color="auto"/>
      </w:divBdr>
      <w:divsChild>
        <w:div w:id="1757902729">
          <w:marLeft w:val="0"/>
          <w:marRight w:val="0"/>
          <w:marTop w:val="0"/>
          <w:marBottom w:val="525"/>
          <w:divBdr>
            <w:top w:val="none" w:sz="0" w:space="0" w:color="auto"/>
            <w:left w:val="none" w:sz="0" w:space="0" w:color="auto"/>
            <w:bottom w:val="none" w:sz="0" w:space="0" w:color="auto"/>
            <w:right w:val="none" w:sz="0" w:space="0" w:color="auto"/>
          </w:divBdr>
          <w:divsChild>
            <w:div w:id="734621066">
              <w:marLeft w:val="0"/>
              <w:marRight w:val="0"/>
              <w:marTop w:val="0"/>
              <w:marBottom w:val="0"/>
              <w:divBdr>
                <w:top w:val="single" w:sz="6" w:space="15" w:color="E4E4E5"/>
                <w:left w:val="single" w:sz="6" w:space="15" w:color="E4E4E5"/>
                <w:bottom w:val="single" w:sz="6" w:space="15" w:color="E4E4E5"/>
                <w:right w:val="single" w:sz="6" w:space="15" w:color="E4E4E5"/>
              </w:divBdr>
              <w:divsChild>
                <w:div w:id="673067119">
                  <w:marLeft w:val="0"/>
                  <w:marRight w:val="0"/>
                  <w:marTop w:val="0"/>
                  <w:marBottom w:val="0"/>
                  <w:divBdr>
                    <w:top w:val="none" w:sz="0" w:space="0" w:color="auto"/>
                    <w:left w:val="none" w:sz="0" w:space="0" w:color="auto"/>
                    <w:bottom w:val="none" w:sz="0" w:space="0" w:color="auto"/>
                    <w:right w:val="none" w:sz="0" w:space="0" w:color="auto"/>
                  </w:divBdr>
                  <w:divsChild>
                    <w:div w:id="1879507371">
                      <w:marLeft w:val="0"/>
                      <w:marRight w:val="0"/>
                      <w:marTop w:val="0"/>
                      <w:marBottom w:val="0"/>
                      <w:divBdr>
                        <w:top w:val="none" w:sz="0" w:space="0" w:color="auto"/>
                        <w:left w:val="none" w:sz="0" w:space="0" w:color="auto"/>
                        <w:bottom w:val="none" w:sz="0" w:space="0" w:color="auto"/>
                        <w:right w:val="none" w:sz="0" w:space="0" w:color="auto"/>
                      </w:divBdr>
                    </w:div>
                    <w:div w:id="387654168">
                      <w:marLeft w:val="0"/>
                      <w:marRight w:val="0"/>
                      <w:marTop w:val="0"/>
                      <w:marBottom w:val="0"/>
                      <w:divBdr>
                        <w:top w:val="none" w:sz="0" w:space="0" w:color="auto"/>
                        <w:left w:val="none" w:sz="0" w:space="0" w:color="auto"/>
                        <w:bottom w:val="none" w:sz="0" w:space="0" w:color="auto"/>
                        <w:right w:val="none" w:sz="0" w:space="0" w:color="auto"/>
                      </w:divBdr>
                    </w:div>
                    <w:div w:id="19661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852">
      <w:bodyDiv w:val="1"/>
      <w:marLeft w:val="0"/>
      <w:marRight w:val="0"/>
      <w:marTop w:val="0"/>
      <w:marBottom w:val="0"/>
      <w:divBdr>
        <w:top w:val="none" w:sz="0" w:space="0" w:color="auto"/>
        <w:left w:val="none" w:sz="0" w:space="0" w:color="auto"/>
        <w:bottom w:val="none" w:sz="0" w:space="0" w:color="auto"/>
        <w:right w:val="none" w:sz="0" w:space="0" w:color="auto"/>
      </w:divBdr>
    </w:div>
    <w:div w:id="26029424">
      <w:bodyDiv w:val="1"/>
      <w:marLeft w:val="0"/>
      <w:marRight w:val="0"/>
      <w:marTop w:val="0"/>
      <w:marBottom w:val="0"/>
      <w:divBdr>
        <w:top w:val="none" w:sz="0" w:space="0" w:color="auto"/>
        <w:left w:val="none" w:sz="0" w:space="0" w:color="auto"/>
        <w:bottom w:val="none" w:sz="0" w:space="0" w:color="auto"/>
        <w:right w:val="none" w:sz="0" w:space="0" w:color="auto"/>
      </w:divBdr>
    </w:div>
    <w:div w:id="54862649">
      <w:bodyDiv w:val="1"/>
      <w:marLeft w:val="0"/>
      <w:marRight w:val="0"/>
      <w:marTop w:val="0"/>
      <w:marBottom w:val="0"/>
      <w:divBdr>
        <w:top w:val="none" w:sz="0" w:space="0" w:color="auto"/>
        <w:left w:val="none" w:sz="0" w:space="0" w:color="auto"/>
        <w:bottom w:val="none" w:sz="0" w:space="0" w:color="auto"/>
        <w:right w:val="none" w:sz="0" w:space="0" w:color="auto"/>
      </w:divBdr>
    </w:div>
    <w:div w:id="88937863">
      <w:bodyDiv w:val="1"/>
      <w:marLeft w:val="0"/>
      <w:marRight w:val="0"/>
      <w:marTop w:val="0"/>
      <w:marBottom w:val="0"/>
      <w:divBdr>
        <w:top w:val="none" w:sz="0" w:space="0" w:color="auto"/>
        <w:left w:val="none" w:sz="0" w:space="0" w:color="auto"/>
        <w:bottom w:val="none" w:sz="0" w:space="0" w:color="auto"/>
        <w:right w:val="none" w:sz="0" w:space="0" w:color="auto"/>
      </w:divBdr>
    </w:div>
    <w:div w:id="96828649">
      <w:bodyDiv w:val="1"/>
      <w:marLeft w:val="0"/>
      <w:marRight w:val="0"/>
      <w:marTop w:val="0"/>
      <w:marBottom w:val="0"/>
      <w:divBdr>
        <w:top w:val="none" w:sz="0" w:space="0" w:color="auto"/>
        <w:left w:val="none" w:sz="0" w:space="0" w:color="auto"/>
        <w:bottom w:val="none" w:sz="0" w:space="0" w:color="auto"/>
        <w:right w:val="none" w:sz="0" w:space="0" w:color="auto"/>
      </w:divBdr>
    </w:div>
    <w:div w:id="104466036">
      <w:bodyDiv w:val="1"/>
      <w:marLeft w:val="0"/>
      <w:marRight w:val="0"/>
      <w:marTop w:val="0"/>
      <w:marBottom w:val="0"/>
      <w:divBdr>
        <w:top w:val="none" w:sz="0" w:space="0" w:color="auto"/>
        <w:left w:val="none" w:sz="0" w:space="0" w:color="auto"/>
        <w:bottom w:val="none" w:sz="0" w:space="0" w:color="auto"/>
        <w:right w:val="none" w:sz="0" w:space="0" w:color="auto"/>
      </w:divBdr>
    </w:div>
    <w:div w:id="116724486">
      <w:bodyDiv w:val="1"/>
      <w:marLeft w:val="0"/>
      <w:marRight w:val="0"/>
      <w:marTop w:val="0"/>
      <w:marBottom w:val="0"/>
      <w:divBdr>
        <w:top w:val="none" w:sz="0" w:space="0" w:color="auto"/>
        <w:left w:val="none" w:sz="0" w:space="0" w:color="auto"/>
        <w:bottom w:val="none" w:sz="0" w:space="0" w:color="auto"/>
        <w:right w:val="none" w:sz="0" w:space="0" w:color="auto"/>
      </w:divBdr>
    </w:div>
    <w:div w:id="117116441">
      <w:bodyDiv w:val="1"/>
      <w:marLeft w:val="0"/>
      <w:marRight w:val="0"/>
      <w:marTop w:val="0"/>
      <w:marBottom w:val="0"/>
      <w:divBdr>
        <w:top w:val="none" w:sz="0" w:space="0" w:color="auto"/>
        <w:left w:val="none" w:sz="0" w:space="0" w:color="auto"/>
        <w:bottom w:val="none" w:sz="0" w:space="0" w:color="auto"/>
        <w:right w:val="none" w:sz="0" w:space="0" w:color="auto"/>
      </w:divBdr>
    </w:div>
    <w:div w:id="179247164">
      <w:bodyDiv w:val="1"/>
      <w:marLeft w:val="0"/>
      <w:marRight w:val="0"/>
      <w:marTop w:val="0"/>
      <w:marBottom w:val="0"/>
      <w:divBdr>
        <w:top w:val="none" w:sz="0" w:space="0" w:color="auto"/>
        <w:left w:val="none" w:sz="0" w:space="0" w:color="auto"/>
        <w:bottom w:val="none" w:sz="0" w:space="0" w:color="auto"/>
        <w:right w:val="none" w:sz="0" w:space="0" w:color="auto"/>
      </w:divBdr>
    </w:div>
    <w:div w:id="181938346">
      <w:bodyDiv w:val="1"/>
      <w:marLeft w:val="0"/>
      <w:marRight w:val="0"/>
      <w:marTop w:val="0"/>
      <w:marBottom w:val="0"/>
      <w:divBdr>
        <w:top w:val="none" w:sz="0" w:space="0" w:color="auto"/>
        <w:left w:val="none" w:sz="0" w:space="0" w:color="auto"/>
        <w:bottom w:val="none" w:sz="0" w:space="0" w:color="auto"/>
        <w:right w:val="none" w:sz="0" w:space="0" w:color="auto"/>
      </w:divBdr>
    </w:div>
    <w:div w:id="185604474">
      <w:bodyDiv w:val="1"/>
      <w:marLeft w:val="0"/>
      <w:marRight w:val="0"/>
      <w:marTop w:val="0"/>
      <w:marBottom w:val="0"/>
      <w:divBdr>
        <w:top w:val="none" w:sz="0" w:space="0" w:color="auto"/>
        <w:left w:val="none" w:sz="0" w:space="0" w:color="auto"/>
        <w:bottom w:val="none" w:sz="0" w:space="0" w:color="auto"/>
        <w:right w:val="none" w:sz="0" w:space="0" w:color="auto"/>
      </w:divBdr>
    </w:div>
    <w:div w:id="185676699">
      <w:bodyDiv w:val="1"/>
      <w:marLeft w:val="0"/>
      <w:marRight w:val="0"/>
      <w:marTop w:val="0"/>
      <w:marBottom w:val="0"/>
      <w:divBdr>
        <w:top w:val="none" w:sz="0" w:space="0" w:color="auto"/>
        <w:left w:val="none" w:sz="0" w:space="0" w:color="auto"/>
        <w:bottom w:val="none" w:sz="0" w:space="0" w:color="auto"/>
        <w:right w:val="none" w:sz="0" w:space="0" w:color="auto"/>
      </w:divBdr>
    </w:div>
    <w:div w:id="198590423">
      <w:bodyDiv w:val="1"/>
      <w:marLeft w:val="0"/>
      <w:marRight w:val="0"/>
      <w:marTop w:val="0"/>
      <w:marBottom w:val="0"/>
      <w:divBdr>
        <w:top w:val="none" w:sz="0" w:space="0" w:color="auto"/>
        <w:left w:val="none" w:sz="0" w:space="0" w:color="auto"/>
        <w:bottom w:val="none" w:sz="0" w:space="0" w:color="auto"/>
        <w:right w:val="none" w:sz="0" w:space="0" w:color="auto"/>
      </w:divBdr>
    </w:div>
    <w:div w:id="200898576">
      <w:bodyDiv w:val="1"/>
      <w:marLeft w:val="0"/>
      <w:marRight w:val="0"/>
      <w:marTop w:val="0"/>
      <w:marBottom w:val="0"/>
      <w:divBdr>
        <w:top w:val="none" w:sz="0" w:space="0" w:color="auto"/>
        <w:left w:val="none" w:sz="0" w:space="0" w:color="auto"/>
        <w:bottom w:val="none" w:sz="0" w:space="0" w:color="auto"/>
        <w:right w:val="none" w:sz="0" w:space="0" w:color="auto"/>
      </w:divBdr>
    </w:div>
    <w:div w:id="203712060">
      <w:bodyDiv w:val="1"/>
      <w:marLeft w:val="0"/>
      <w:marRight w:val="0"/>
      <w:marTop w:val="0"/>
      <w:marBottom w:val="0"/>
      <w:divBdr>
        <w:top w:val="none" w:sz="0" w:space="0" w:color="auto"/>
        <w:left w:val="none" w:sz="0" w:space="0" w:color="auto"/>
        <w:bottom w:val="none" w:sz="0" w:space="0" w:color="auto"/>
        <w:right w:val="none" w:sz="0" w:space="0" w:color="auto"/>
      </w:divBdr>
    </w:div>
    <w:div w:id="223836179">
      <w:bodyDiv w:val="1"/>
      <w:marLeft w:val="0"/>
      <w:marRight w:val="0"/>
      <w:marTop w:val="0"/>
      <w:marBottom w:val="0"/>
      <w:divBdr>
        <w:top w:val="none" w:sz="0" w:space="0" w:color="auto"/>
        <w:left w:val="none" w:sz="0" w:space="0" w:color="auto"/>
        <w:bottom w:val="none" w:sz="0" w:space="0" w:color="auto"/>
        <w:right w:val="none" w:sz="0" w:space="0" w:color="auto"/>
      </w:divBdr>
    </w:div>
    <w:div w:id="224221758">
      <w:bodyDiv w:val="1"/>
      <w:marLeft w:val="0"/>
      <w:marRight w:val="0"/>
      <w:marTop w:val="0"/>
      <w:marBottom w:val="0"/>
      <w:divBdr>
        <w:top w:val="none" w:sz="0" w:space="0" w:color="auto"/>
        <w:left w:val="none" w:sz="0" w:space="0" w:color="auto"/>
        <w:bottom w:val="none" w:sz="0" w:space="0" w:color="auto"/>
        <w:right w:val="none" w:sz="0" w:space="0" w:color="auto"/>
      </w:divBdr>
    </w:div>
    <w:div w:id="238255308">
      <w:bodyDiv w:val="1"/>
      <w:marLeft w:val="0"/>
      <w:marRight w:val="0"/>
      <w:marTop w:val="0"/>
      <w:marBottom w:val="0"/>
      <w:divBdr>
        <w:top w:val="none" w:sz="0" w:space="0" w:color="auto"/>
        <w:left w:val="none" w:sz="0" w:space="0" w:color="auto"/>
        <w:bottom w:val="none" w:sz="0" w:space="0" w:color="auto"/>
        <w:right w:val="none" w:sz="0" w:space="0" w:color="auto"/>
      </w:divBdr>
    </w:div>
    <w:div w:id="238516238">
      <w:bodyDiv w:val="1"/>
      <w:marLeft w:val="0"/>
      <w:marRight w:val="0"/>
      <w:marTop w:val="0"/>
      <w:marBottom w:val="0"/>
      <w:divBdr>
        <w:top w:val="none" w:sz="0" w:space="0" w:color="auto"/>
        <w:left w:val="none" w:sz="0" w:space="0" w:color="auto"/>
        <w:bottom w:val="none" w:sz="0" w:space="0" w:color="auto"/>
        <w:right w:val="none" w:sz="0" w:space="0" w:color="auto"/>
      </w:divBdr>
    </w:div>
    <w:div w:id="243535045">
      <w:bodyDiv w:val="1"/>
      <w:marLeft w:val="0"/>
      <w:marRight w:val="0"/>
      <w:marTop w:val="0"/>
      <w:marBottom w:val="0"/>
      <w:divBdr>
        <w:top w:val="none" w:sz="0" w:space="0" w:color="auto"/>
        <w:left w:val="none" w:sz="0" w:space="0" w:color="auto"/>
        <w:bottom w:val="none" w:sz="0" w:space="0" w:color="auto"/>
        <w:right w:val="none" w:sz="0" w:space="0" w:color="auto"/>
      </w:divBdr>
    </w:div>
    <w:div w:id="247085710">
      <w:bodyDiv w:val="1"/>
      <w:marLeft w:val="0"/>
      <w:marRight w:val="0"/>
      <w:marTop w:val="0"/>
      <w:marBottom w:val="0"/>
      <w:divBdr>
        <w:top w:val="none" w:sz="0" w:space="0" w:color="auto"/>
        <w:left w:val="none" w:sz="0" w:space="0" w:color="auto"/>
        <w:bottom w:val="none" w:sz="0" w:space="0" w:color="auto"/>
        <w:right w:val="none" w:sz="0" w:space="0" w:color="auto"/>
      </w:divBdr>
      <w:divsChild>
        <w:div w:id="1581016595">
          <w:marLeft w:val="0"/>
          <w:marRight w:val="0"/>
          <w:marTop w:val="0"/>
          <w:marBottom w:val="525"/>
          <w:divBdr>
            <w:top w:val="none" w:sz="0" w:space="0" w:color="auto"/>
            <w:left w:val="none" w:sz="0" w:space="0" w:color="auto"/>
            <w:bottom w:val="none" w:sz="0" w:space="0" w:color="auto"/>
            <w:right w:val="none" w:sz="0" w:space="0" w:color="auto"/>
          </w:divBdr>
          <w:divsChild>
            <w:div w:id="99184727">
              <w:marLeft w:val="0"/>
              <w:marRight w:val="0"/>
              <w:marTop w:val="0"/>
              <w:marBottom w:val="0"/>
              <w:divBdr>
                <w:top w:val="single" w:sz="6" w:space="15" w:color="E4E4E5"/>
                <w:left w:val="single" w:sz="6" w:space="15" w:color="E4E4E5"/>
                <w:bottom w:val="single" w:sz="6" w:space="15" w:color="E4E4E5"/>
                <w:right w:val="single" w:sz="6" w:space="15" w:color="E4E4E5"/>
              </w:divBdr>
              <w:divsChild>
                <w:div w:id="12333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0594">
      <w:bodyDiv w:val="1"/>
      <w:marLeft w:val="0"/>
      <w:marRight w:val="0"/>
      <w:marTop w:val="0"/>
      <w:marBottom w:val="0"/>
      <w:divBdr>
        <w:top w:val="none" w:sz="0" w:space="0" w:color="auto"/>
        <w:left w:val="none" w:sz="0" w:space="0" w:color="auto"/>
        <w:bottom w:val="none" w:sz="0" w:space="0" w:color="auto"/>
        <w:right w:val="none" w:sz="0" w:space="0" w:color="auto"/>
      </w:divBdr>
    </w:div>
    <w:div w:id="307134264">
      <w:bodyDiv w:val="1"/>
      <w:marLeft w:val="0"/>
      <w:marRight w:val="0"/>
      <w:marTop w:val="0"/>
      <w:marBottom w:val="0"/>
      <w:divBdr>
        <w:top w:val="none" w:sz="0" w:space="0" w:color="auto"/>
        <w:left w:val="none" w:sz="0" w:space="0" w:color="auto"/>
        <w:bottom w:val="none" w:sz="0" w:space="0" w:color="auto"/>
        <w:right w:val="none" w:sz="0" w:space="0" w:color="auto"/>
      </w:divBdr>
    </w:div>
    <w:div w:id="326131785">
      <w:bodyDiv w:val="1"/>
      <w:marLeft w:val="0"/>
      <w:marRight w:val="0"/>
      <w:marTop w:val="0"/>
      <w:marBottom w:val="0"/>
      <w:divBdr>
        <w:top w:val="none" w:sz="0" w:space="0" w:color="auto"/>
        <w:left w:val="none" w:sz="0" w:space="0" w:color="auto"/>
        <w:bottom w:val="none" w:sz="0" w:space="0" w:color="auto"/>
        <w:right w:val="none" w:sz="0" w:space="0" w:color="auto"/>
      </w:divBdr>
    </w:div>
    <w:div w:id="334236363">
      <w:bodyDiv w:val="1"/>
      <w:marLeft w:val="0"/>
      <w:marRight w:val="0"/>
      <w:marTop w:val="0"/>
      <w:marBottom w:val="0"/>
      <w:divBdr>
        <w:top w:val="none" w:sz="0" w:space="0" w:color="auto"/>
        <w:left w:val="none" w:sz="0" w:space="0" w:color="auto"/>
        <w:bottom w:val="none" w:sz="0" w:space="0" w:color="auto"/>
        <w:right w:val="none" w:sz="0" w:space="0" w:color="auto"/>
      </w:divBdr>
    </w:div>
    <w:div w:id="336545393">
      <w:bodyDiv w:val="1"/>
      <w:marLeft w:val="0"/>
      <w:marRight w:val="0"/>
      <w:marTop w:val="0"/>
      <w:marBottom w:val="0"/>
      <w:divBdr>
        <w:top w:val="none" w:sz="0" w:space="0" w:color="auto"/>
        <w:left w:val="none" w:sz="0" w:space="0" w:color="auto"/>
        <w:bottom w:val="none" w:sz="0" w:space="0" w:color="auto"/>
        <w:right w:val="none" w:sz="0" w:space="0" w:color="auto"/>
      </w:divBdr>
    </w:div>
    <w:div w:id="339550166">
      <w:bodyDiv w:val="1"/>
      <w:marLeft w:val="0"/>
      <w:marRight w:val="0"/>
      <w:marTop w:val="0"/>
      <w:marBottom w:val="0"/>
      <w:divBdr>
        <w:top w:val="none" w:sz="0" w:space="0" w:color="auto"/>
        <w:left w:val="none" w:sz="0" w:space="0" w:color="auto"/>
        <w:bottom w:val="none" w:sz="0" w:space="0" w:color="auto"/>
        <w:right w:val="none" w:sz="0" w:space="0" w:color="auto"/>
      </w:divBdr>
    </w:div>
    <w:div w:id="381254781">
      <w:bodyDiv w:val="1"/>
      <w:marLeft w:val="0"/>
      <w:marRight w:val="0"/>
      <w:marTop w:val="0"/>
      <w:marBottom w:val="0"/>
      <w:divBdr>
        <w:top w:val="none" w:sz="0" w:space="0" w:color="auto"/>
        <w:left w:val="none" w:sz="0" w:space="0" w:color="auto"/>
        <w:bottom w:val="none" w:sz="0" w:space="0" w:color="auto"/>
        <w:right w:val="none" w:sz="0" w:space="0" w:color="auto"/>
      </w:divBdr>
    </w:div>
    <w:div w:id="412360984">
      <w:bodyDiv w:val="1"/>
      <w:marLeft w:val="0"/>
      <w:marRight w:val="0"/>
      <w:marTop w:val="0"/>
      <w:marBottom w:val="0"/>
      <w:divBdr>
        <w:top w:val="none" w:sz="0" w:space="0" w:color="auto"/>
        <w:left w:val="none" w:sz="0" w:space="0" w:color="auto"/>
        <w:bottom w:val="none" w:sz="0" w:space="0" w:color="auto"/>
        <w:right w:val="none" w:sz="0" w:space="0" w:color="auto"/>
      </w:divBdr>
    </w:div>
    <w:div w:id="417019805">
      <w:bodyDiv w:val="1"/>
      <w:marLeft w:val="0"/>
      <w:marRight w:val="0"/>
      <w:marTop w:val="0"/>
      <w:marBottom w:val="0"/>
      <w:divBdr>
        <w:top w:val="none" w:sz="0" w:space="0" w:color="auto"/>
        <w:left w:val="none" w:sz="0" w:space="0" w:color="auto"/>
        <w:bottom w:val="none" w:sz="0" w:space="0" w:color="auto"/>
        <w:right w:val="none" w:sz="0" w:space="0" w:color="auto"/>
      </w:divBdr>
    </w:div>
    <w:div w:id="434449687">
      <w:bodyDiv w:val="1"/>
      <w:marLeft w:val="0"/>
      <w:marRight w:val="0"/>
      <w:marTop w:val="0"/>
      <w:marBottom w:val="0"/>
      <w:divBdr>
        <w:top w:val="none" w:sz="0" w:space="0" w:color="auto"/>
        <w:left w:val="none" w:sz="0" w:space="0" w:color="auto"/>
        <w:bottom w:val="none" w:sz="0" w:space="0" w:color="auto"/>
        <w:right w:val="none" w:sz="0" w:space="0" w:color="auto"/>
      </w:divBdr>
    </w:div>
    <w:div w:id="452870575">
      <w:bodyDiv w:val="1"/>
      <w:marLeft w:val="0"/>
      <w:marRight w:val="0"/>
      <w:marTop w:val="0"/>
      <w:marBottom w:val="0"/>
      <w:divBdr>
        <w:top w:val="none" w:sz="0" w:space="0" w:color="auto"/>
        <w:left w:val="none" w:sz="0" w:space="0" w:color="auto"/>
        <w:bottom w:val="none" w:sz="0" w:space="0" w:color="auto"/>
        <w:right w:val="none" w:sz="0" w:space="0" w:color="auto"/>
      </w:divBdr>
    </w:div>
    <w:div w:id="459886240">
      <w:bodyDiv w:val="1"/>
      <w:marLeft w:val="0"/>
      <w:marRight w:val="0"/>
      <w:marTop w:val="0"/>
      <w:marBottom w:val="0"/>
      <w:divBdr>
        <w:top w:val="none" w:sz="0" w:space="0" w:color="auto"/>
        <w:left w:val="none" w:sz="0" w:space="0" w:color="auto"/>
        <w:bottom w:val="none" w:sz="0" w:space="0" w:color="auto"/>
        <w:right w:val="none" w:sz="0" w:space="0" w:color="auto"/>
      </w:divBdr>
    </w:div>
    <w:div w:id="464860594">
      <w:bodyDiv w:val="1"/>
      <w:marLeft w:val="0"/>
      <w:marRight w:val="0"/>
      <w:marTop w:val="0"/>
      <w:marBottom w:val="0"/>
      <w:divBdr>
        <w:top w:val="none" w:sz="0" w:space="0" w:color="auto"/>
        <w:left w:val="none" w:sz="0" w:space="0" w:color="auto"/>
        <w:bottom w:val="none" w:sz="0" w:space="0" w:color="auto"/>
        <w:right w:val="none" w:sz="0" w:space="0" w:color="auto"/>
      </w:divBdr>
    </w:div>
    <w:div w:id="467938464">
      <w:bodyDiv w:val="1"/>
      <w:marLeft w:val="0"/>
      <w:marRight w:val="0"/>
      <w:marTop w:val="0"/>
      <w:marBottom w:val="0"/>
      <w:divBdr>
        <w:top w:val="none" w:sz="0" w:space="0" w:color="auto"/>
        <w:left w:val="none" w:sz="0" w:space="0" w:color="auto"/>
        <w:bottom w:val="none" w:sz="0" w:space="0" w:color="auto"/>
        <w:right w:val="none" w:sz="0" w:space="0" w:color="auto"/>
      </w:divBdr>
    </w:div>
    <w:div w:id="472868685">
      <w:bodyDiv w:val="1"/>
      <w:marLeft w:val="0"/>
      <w:marRight w:val="0"/>
      <w:marTop w:val="0"/>
      <w:marBottom w:val="0"/>
      <w:divBdr>
        <w:top w:val="none" w:sz="0" w:space="0" w:color="auto"/>
        <w:left w:val="none" w:sz="0" w:space="0" w:color="auto"/>
        <w:bottom w:val="none" w:sz="0" w:space="0" w:color="auto"/>
        <w:right w:val="none" w:sz="0" w:space="0" w:color="auto"/>
      </w:divBdr>
    </w:div>
    <w:div w:id="472868865">
      <w:bodyDiv w:val="1"/>
      <w:marLeft w:val="0"/>
      <w:marRight w:val="0"/>
      <w:marTop w:val="0"/>
      <w:marBottom w:val="0"/>
      <w:divBdr>
        <w:top w:val="none" w:sz="0" w:space="0" w:color="auto"/>
        <w:left w:val="none" w:sz="0" w:space="0" w:color="auto"/>
        <w:bottom w:val="none" w:sz="0" w:space="0" w:color="auto"/>
        <w:right w:val="none" w:sz="0" w:space="0" w:color="auto"/>
      </w:divBdr>
    </w:div>
    <w:div w:id="507255341">
      <w:bodyDiv w:val="1"/>
      <w:marLeft w:val="0"/>
      <w:marRight w:val="0"/>
      <w:marTop w:val="0"/>
      <w:marBottom w:val="0"/>
      <w:divBdr>
        <w:top w:val="none" w:sz="0" w:space="0" w:color="auto"/>
        <w:left w:val="none" w:sz="0" w:space="0" w:color="auto"/>
        <w:bottom w:val="none" w:sz="0" w:space="0" w:color="auto"/>
        <w:right w:val="none" w:sz="0" w:space="0" w:color="auto"/>
      </w:divBdr>
    </w:div>
    <w:div w:id="528763088">
      <w:bodyDiv w:val="1"/>
      <w:marLeft w:val="0"/>
      <w:marRight w:val="0"/>
      <w:marTop w:val="0"/>
      <w:marBottom w:val="0"/>
      <w:divBdr>
        <w:top w:val="none" w:sz="0" w:space="0" w:color="auto"/>
        <w:left w:val="none" w:sz="0" w:space="0" w:color="auto"/>
        <w:bottom w:val="none" w:sz="0" w:space="0" w:color="auto"/>
        <w:right w:val="none" w:sz="0" w:space="0" w:color="auto"/>
      </w:divBdr>
    </w:div>
    <w:div w:id="548690307">
      <w:bodyDiv w:val="1"/>
      <w:marLeft w:val="0"/>
      <w:marRight w:val="0"/>
      <w:marTop w:val="0"/>
      <w:marBottom w:val="0"/>
      <w:divBdr>
        <w:top w:val="none" w:sz="0" w:space="0" w:color="auto"/>
        <w:left w:val="none" w:sz="0" w:space="0" w:color="auto"/>
        <w:bottom w:val="none" w:sz="0" w:space="0" w:color="auto"/>
        <w:right w:val="none" w:sz="0" w:space="0" w:color="auto"/>
      </w:divBdr>
      <w:divsChild>
        <w:div w:id="118308986">
          <w:marLeft w:val="0"/>
          <w:marRight w:val="0"/>
          <w:marTop w:val="0"/>
          <w:marBottom w:val="0"/>
          <w:divBdr>
            <w:top w:val="none" w:sz="0" w:space="0" w:color="auto"/>
            <w:left w:val="none" w:sz="0" w:space="0" w:color="auto"/>
            <w:bottom w:val="none" w:sz="0" w:space="0" w:color="auto"/>
            <w:right w:val="none" w:sz="0" w:space="0" w:color="auto"/>
          </w:divBdr>
          <w:divsChild>
            <w:div w:id="486897104">
              <w:marLeft w:val="0"/>
              <w:marRight w:val="0"/>
              <w:marTop w:val="0"/>
              <w:marBottom w:val="0"/>
              <w:divBdr>
                <w:top w:val="none" w:sz="0" w:space="0" w:color="auto"/>
                <w:left w:val="none" w:sz="0" w:space="0" w:color="auto"/>
                <w:bottom w:val="none" w:sz="0" w:space="0" w:color="auto"/>
                <w:right w:val="none" w:sz="0" w:space="0" w:color="auto"/>
              </w:divBdr>
              <w:divsChild>
                <w:div w:id="1948342459">
                  <w:marLeft w:val="0"/>
                  <w:marRight w:val="0"/>
                  <w:marTop w:val="0"/>
                  <w:marBottom w:val="0"/>
                  <w:divBdr>
                    <w:top w:val="none" w:sz="0" w:space="0" w:color="auto"/>
                    <w:left w:val="none" w:sz="0" w:space="0" w:color="auto"/>
                    <w:bottom w:val="none" w:sz="0" w:space="0" w:color="auto"/>
                    <w:right w:val="none" w:sz="0" w:space="0" w:color="auto"/>
                  </w:divBdr>
                </w:div>
              </w:divsChild>
            </w:div>
            <w:div w:id="910849460">
              <w:marLeft w:val="0"/>
              <w:marRight w:val="0"/>
              <w:marTop w:val="0"/>
              <w:marBottom w:val="0"/>
              <w:divBdr>
                <w:top w:val="none" w:sz="0" w:space="0" w:color="auto"/>
                <w:left w:val="none" w:sz="0" w:space="0" w:color="auto"/>
                <w:bottom w:val="none" w:sz="0" w:space="0" w:color="auto"/>
                <w:right w:val="none" w:sz="0" w:space="0" w:color="auto"/>
              </w:divBdr>
              <w:divsChild>
                <w:div w:id="1749887047">
                  <w:marLeft w:val="0"/>
                  <w:marRight w:val="0"/>
                  <w:marTop w:val="0"/>
                  <w:marBottom w:val="0"/>
                  <w:divBdr>
                    <w:top w:val="none" w:sz="0" w:space="0" w:color="auto"/>
                    <w:left w:val="none" w:sz="0" w:space="0" w:color="auto"/>
                    <w:bottom w:val="none" w:sz="0" w:space="0" w:color="auto"/>
                    <w:right w:val="none" w:sz="0" w:space="0" w:color="auto"/>
                  </w:divBdr>
                </w:div>
              </w:divsChild>
            </w:div>
            <w:div w:id="221913885">
              <w:marLeft w:val="0"/>
              <w:marRight w:val="0"/>
              <w:marTop w:val="0"/>
              <w:marBottom w:val="0"/>
              <w:divBdr>
                <w:top w:val="none" w:sz="0" w:space="0" w:color="auto"/>
                <w:left w:val="none" w:sz="0" w:space="0" w:color="auto"/>
                <w:bottom w:val="none" w:sz="0" w:space="0" w:color="auto"/>
                <w:right w:val="none" w:sz="0" w:space="0" w:color="auto"/>
              </w:divBdr>
              <w:divsChild>
                <w:div w:id="7179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7378">
      <w:bodyDiv w:val="1"/>
      <w:marLeft w:val="0"/>
      <w:marRight w:val="0"/>
      <w:marTop w:val="0"/>
      <w:marBottom w:val="0"/>
      <w:divBdr>
        <w:top w:val="none" w:sz="0" w:space="0" w:color="auto"/>
        <w:left w:val="none" w:sz="0" w:space="0" w:color="auto"/>
        <w:bottom w:val="none" w:sz="0" w:space="0" w:color="auto"/>
        <w:right w:val="none" w:sz="0" w:space="0" w:color="auto"/>
      </w:divBdr>
    </w:div>
    <w:div w:id="558050904">
      <w:bodyDiv w:val="1"/>
      <w:marLeft w:val="0"/>
      <w:marRight w:val="0"/>
      <w:marTop w:val="0"/>
      <w:marBottom w:val="0"/>
      <w:divBdr>
        <w:top w:val="none" w:sz="0" w:space="0" w:color="auto"/>
        <w:left w:val="none" w:sz="0" w:space="0" w:color="auto"/>
        <w:bottom w:val="none" w:sz="0" w:space="0" w:color="auto"/>
        <w:right w:val="none" w:sz="0" w:space="0" w:color="auto"/>
      </w:divBdr>
    </w:div>
    <w:div w:id="593130201">
      <w:bodyDiv w:val="1"/>
      <w:marLeft w:val="0"/>
      <w:marRight w:val="0"/>
      <w:marTop w:val="0"/>
      <w:marBottom w:val="0"/>
      <w:divBdr>
        <w:top w:val="none" w:sz="0" w:space="0" w:color="auto"/>
        <w:left w:val="none" w:sz="0" w:space="0" w:color="auto"/>
        <w:bottom w:val="none" w:sz="0" w:space="0" w:color="auto"/>
        <w:right w:val="none" w:sz="0" w:space="0" w:color="auto"/>
      </w:divBdr>
    </w:div>
    <w:div w:id="608125761">
      <w:bodyDiv w:val="1"/>
      <w:marLeft w:val="0"/>
      <w:marRight w:val="0"/>
      <w:marTop w:val="0"/>
      <w:marBottom w:val="0"/>
      <w:divBdr>
        <w:top w:val="none" w:sz="0" w:space="0" w:color="auto"/>
        <w:left w:val="none" w:sz="0" w:space="0" w:color="auto"/>
        <w:bottom w:val="none" w:sz="0" w:space="0" w:color="auto"/>
        <w:right w:val="none" w:sz="0" w:space="0" w:color="auto"/>
      </w:divBdr>
    </w:div>
    <w:div w:id="612787311">
      <w:bodyDiv w:val="1"/>
      <w:marLeft w:val="0"/>
      <w:marRight w:val="0"/>
      <w:marTop w:val="0"/>
      <w:marBottom w:val="0"/>
      <w:divBdr>
        <w:top w:val="none" w:sz="0" w:space="0" w:color="auto"/>
        <w:left w:val="none" w:sz="0" w:space="0" w:color="auto"/>
        <w:bottom w:val="none" w:sz="0" w:space="0" w:color="auto"/>
        <w:right w:val="none" w:sz="0" w:space="0" w:color="auto"/>
      </w:divBdr>
    </w:div>
    <w:div w:id="616719852">
      <w:bodyDiv w:val="1"/>
      <w:marLeft w:val="0"/>
      <w:marRight w:val="0"/>
      <w:marTop w:val="0"/>
      <w:marBottom w:val="0"/>
      <w:divBdr>
        <w:top w:val="none" w:sz="0" w:space="0" w:color="auto"/>
        <w:left w:val="none" w:sz="0" w:space="0" w:color="auto"/>
        <w:bottom w:val="none" w:sz="0" w:space="0" w:color="auto"/>
        <w:right w:val="none" w:sz="0" w:space="0" w:color="auto"/>
      </w:divBdr>
    </w:div>
    <w:div w:id="628634928">
      <w:bodyDiv w:val="1"/>
      <w:marLeft w:val="0"/>
      <w:marRight w:val="0"/>
      <w:marTop w:val="0"/>
      <w:marBottom w:val="0"/>
      <w:divBdr>
        <w:top w:val="none" w:sz="0" w:space="0" w:color="auto"/>
        <w:left w:val="none" w:sz="0" w:space="0" w:color="auto"/>
        <w:bottom w:val="none" w:sz="0" w:space="0" w:color="auto"/>
        <w:right w:val="none" w:sz="0" w:space="0" w:color="auto"/>
      </w:divBdr>
    </w:div>
    <w:div w:id="649987075">
      <w:bodyDiv w:val="1"/>
      <w:marLeft w:val="0"/>
      <w:marRight w:val="0"/>
      <w:marTop w:val="0"/>
      <w:marBottom w:val="0"/>
      <w:divBdr>
        <w:top w:val="none" w:sz="0" w:space="0" w:color="auto"/>
        <w:left w:val="none" w:sz="0" w:space="0" w:color="auto"/>
        <w:bottom w:val="none" w:sz="0" w:space="0" w:color="auto"/>
        <w:right w:val="none" w:sz="0" w:space="0" w:color="auto"/>
      </w:divBdr>
    </w:div>
    <w:div w:id="743066787">
      <w:bodyDiv w:val="1"/>
      <w:marLeft w:val="0"/>
      <w:marRight w:val="0"/>
      <w:marTop w:val="0"/>
      <w:marBottom w:val="0"/>
      <w:divBdr>
        <w:top w:val="none" w:sz="0" w:space="0" w:color="auto"/>
        <w:left w:val="none" w:sz="0" w:space="0" w:color="auto"/>
        <w:bottom w:val="none" w:sz="0" w:space="0" w:color="auto"/>
        <w:right w:val="none" w:sz="0" w:space="0" w:color="auto"/>
      </w:divBdr>
    </w:div>
    <w:div w:id="753283462">
      <w:bodyDiv w:val="1"/>
      <w:marLeft w:val="0"/>
      <w:marRight w:val="0"/>
      <w:marTop w:val="0"/>
      <w:marBottom w:val="0"/>
      <w:divBdr>
        <w:top w:val="none" w:sz="0" w:space="0" w:color="auto"/>
        <w:left w:val="none" w:sz="0" w:space="0" w:color="auto"/>
        <w:bottom w:val="none" w:sz="0" w:space="0" w:color="auto"/>
        <w:right w:val="none" w:sz="0" w:space="0" w:color="auto"/>
      </w:divBdr>
    </w:div>
    <w:div w:id="764038034">
      <w:bodyDiv w:val="1"/>
      <w:marLeft w:val="0"/>
      <w:marRight w:val="0"/>
      <w:marTop w:val="0"/>
      <w:marBottom w:val="0"/>
      <w:divBdr>
        <w:top w:val="none" w:sz="0" w:space="0" w:color="auto"/>
        <w:left w:val="none" w:sz="0" w:space="0" w:color="auto"/>
        <w:bottom w:val="none" w:sz="0" w:space="0" w:color="auto"/>
        <w:right w:val="none" w:sz="0" w:space="0" w:color="auto"/>
      </w:divBdr>
      <w:divsChild>
        <w:div w:id="375277958">
          <w:marLeft w:val="0"/>
          <w:marRight w:val="0"/>
          <w:marTop w:val="0"/>
          <w:marBottom w:val="525"/>
          <w:divBdr>
            <w:top w:val="none" w:sz="0" w:space="0" w:color="auto"/>
            <w:left w:val="none" w:sz="0" w:space="0" w:color="auto"/>
            <w:bottom w:val="none" w:sz="0" w:space="0" w:color="auto"/>
            <w:right w:val="none" w:sz="0" w:space="0" w:color="auto"/>
          </w:divBdr>
          <w:divsChild>
            <w:div w:id="2132288231">
              <w:marLeft w:val="0"/>
              <w:marRight w:val="0"/>
              <w:marTop w:val="0"/>
              <w:marBottom w:val="0"/>
              <w:divBdr>
                <w:top w:val="single" w:sz="6" w:space="15" w:color="E4E4E5"/>
                <w:left w:val="single" w:sz="6" w:space="15" w:color="E4E4E5"/>
                <w:bottom w:val="single" w:sz="6" w:space="15" w:color="E4E4E5"/>
                <w:right w:val="single" w:sz="6" w:space="15" w:color="E4E4E5"/>
              </w:divBdr>
              <w:divsChild>
                <w:div w:id="1347708521">
                  <w:marLeft w:val="0"/>
                  <w:marRight w:val="0"/>
                  <w:marTop w:val="0"/>
                  <w:marBottom w:val="0"/>
                  <w:divBdr>
                    <w:top w:val="none" w:sz="0" w:space="0" w:color="auto"/>
                    <w:left w:val="none" w:sz="0" w:space="0" w:color="auto"/>
                    <w:bottom w:val="none" w:sz="0" w:space="0" w:color="auto"/>
                    <w:right w:val="none" w:sz="0" w:space="0" w:color="auto"/>
                  </w:divBdr>
                  <w:divsChild>
                    <w:div w:id="461728043">
                      <w:marLeft w:val="0"/>
                      <w:marRight w:val="0"/>
                      <w:marTop w:val="0"/>
                      <w:marBottom w:val="0"/>
                      <w:divBdr>
                        <w:top w:val="none" w:sz="0" w:space="0" w:color="auto"/>
                        <w:left w:val="none" w:sz="0" w:space="0" w:color="auto"/>
                        <w:bottom w:val="none" w:sz="0" w:space="0" w:color="auto"/>
                        <w:right w:val="none" w:sz="0" w:space="0" w:color="auto"/>
                      </w:divBdr>
                    </w:div>
                    <w:div w:id="1171338655">
                      <w:marLeft w:val="0"/>
                      <w:marRight w:val="0"/>
                      <w:marTop w:val="0"/>
                      <w:marBottom w:val="0"/>
                      <w:divBdr>
                        <w:top w:val="none" w:sz="0" w:space="0" w:color="auto"/>
                        <w:left w:val="none" w:sz="0" w:space="0" w:color="auto"/>
                        <w:bottom w:val="none" w:sz="0" w:space="0" w:color="auto"/>
                        <w:right w:val="none" w:sz="0" w:space="0" w:color="auto"/>
                      </w:divBdr>
                    </w:div>
                    <w:div w:id="8192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355804">
      <w:bodyDiv w:val="1"/>
      <w:marLeft w:val="0"/>
      <w:marRight w:val="0"/>
      <w:marTop w:val="0"/>
      <w:marBottom w:val="0"/>
      <w:divBdr>
        <w:top w:val="none" w:sz="0" w:space="0" w:color="auto"/>
        <w:left w:val="none" w:sz="0" w:space="0" w:color="auto"/>
        <w:bottom w:val="none" w:sz="0" w:space="0" w:color="auto"/>
        <w:right w:val="none" w:sz="0" w:space="0" w:color="auto"/>
      </w:divBdr>
    </w:div>
    <w:div w:id="773866834">
      <w:bodyDiv w:val="1"/>
      <w:marLeft w:val="0"/>
      <w:marRight w:val="0"/>
      <w:marTop w:val="0"/>
      <w:marBottom w:val="0"/>
      <w:divBdr>
        <w:top w:val="none" w:sz="0" w:space="0" w:color="auto"/>
        <w:left w:val="none" w:sz="0" w:space="0" w:color="auto"/>
        <w:bottom w:val="none" w:sz="0" w:space="0" w:color="auto"/>
        <w:right w:val="none" w:sz="0" w:space="0" w:color="auto"/>
      </w:divBdr>
    </w:div>
    <w:div w:id="792023649">
      <w:bodyDiv w:val="1"/>
      <w:marLeft w:val="0"/>
      <w:marRight w:val="0"/>
      <w:marTop w:val="0"/>
      <w:marBottom w:val="0"/>
      <w:divBdr>
        <w:top w:val="none" w:sz="0" w:space="0" w:color="auto"/>
        <w:left w:val="none" w:sz="0" w:space="0" w:color="auto"/>
        <w:bottom w:val="none" w:sz="0" w:space="0" w:color="auto"/>
        <w:right w:val="none" w:sz="0" w:space="0" w:color="auto"/>
      </w:divBdr>
    </w:div>
    <w:div w:id="796875771">
      <w:bodyDiv w:val="1"/>
      <w:marLeft w:val="0"/>
      <w:marRight w:val="0"/>
      <w:marTop w:val="0"/>
      <w:marBottom w:val="0"/>
      <w:divBdr>
        <w:top w:val="none" w:sz="0" w:space="0" w:color="auto"/>
        <w:left w:val="none" w:sz="0" w:space="0" w:color="auto"/>
        <w:bottom w:val="none" w:sz="0" w:space="0" w:color="auto"/>
        <w:right w:val="none" w:sz="0" w:space="0" w:color="auto"/>
      </w:divBdr>
    </w:div>
    <w:div w:id="798186168">
      <w:bodyDiv w:val="1"/>
      <w:marLeft w:val="0"/>
      <w:marRight w:val="0"/>
      <w:marTop w:val="0"/>
      <w:marBottom w:val="0"/>
      <w:divBdr>
        <w:top w:val="none" w:sz="0" w:space="0" w:color="auto"/>
        <w:left w:val="none" w:sz="0" w:space="0" w:color="auto"/>
        <w:bottom w:val="none" w:sz="0" w:space="0" w:color="auto"/>
        <w:right w:val="none" w:sz="0" w:space="0" w:color="auto"/>
      </w:divBdr>
    </w:div>
    <w:div w:id="798643293">
      <w:bodyDiv w:val="1"/>
      <w:marLeft w:val="0"/>
      <w:marRight w:val="0"/>
      <w:marTop w:val="0"/>
      <w:marBottom w:val="0"/>
      <w:divBdr>
        <w:top w:val="none" w:sz="0" w:space="0" w:color="auto"/>
        <w:left w:val="none" w:sz="0" w:space="0" w:color="auto"/>
        <w:bottom w:val="none" w:sz="0" w:space="0" w:color="auto"/>
        <w:right w:val="none" w:sz="0" w:space="0" w:color="auto"/>
      </w:divBdr>
    </w:div>
    <w:div w:id="806556836">
      <w:bodyDiv w:val="1"/>
      <w:marLeft w:val="0"/>
      <w:marRight w:val="0"/>
      <w:marTop w:val="0"/>
      <w:marBottom w:val="0"/>
      <w:divBdr>
        <w:top w:val="none" w:sz="0" w:space="0" w:color="auto"/>
        <w:left w:val="none" w:sz="0" w:space="0" w:color="auto"/>
        <w:bottom w:val="none" w:sz="0" w:space="0" w:color="auto"/>
        <w:right w:val="none" w:sz="0" w:space="0" w:color="auto"/>
      </w:divBdr>
    </w:div>
    <w:div w:id="818152823">
      <w:bodyDiv w:val="1"/>
      <w:marLeft w:val="0"/>
      <w:marRight w:val="0"/>
      <w:marTop w:val="0"/>
      <w:marBottom w:val="0"/>
      <w:divBdr>
        <w:top w:val="none" w:sz="0" w:space="0" w:color="auto"/>
        <w:left w:val="none" w:sz="0" w:space="0" w:color="auto"/>
        <w:bottom w:val="none" w:sz="0" w:space="0" w:color="auto"/>
        <w:right w:val="none" w:sz="0" w:space="0" w:color="auto"/>
      </w:divBdr>
    </w:div>
    <w:div w:id="843327996">
      <w:bodyDiv w:val="1"/>
      <w:marLeft w:val="0"/>
      <w:marRight w:val="0"/>
      <w:marTop w:val="0"/>
      <w:marBottom w:val="0"/>
      <w:divBdr>
        <w:top w:val="none" w:sz="0" w:space="0" w:color="auto"/>
        <w:left w:val="none" w:sz="0" w:space="0" w:color="auto"/>
        <w:bottom w:val="none" w:sz="0" w:space="0" w:color="auto"/>
        <w:right w:val="none" w:sz="0" w:space="0" w:color="auto"/>
      </w:divBdr>
    </w:div>
    <w:div w:id="848721041">
      <w:bodyDiv w:val="1"/>
      <w:marLeft w:val="0"/>
      <w:marRight w:val="0"/>
      <w:marTop w:val="0"/>
      <w:marBottom w:val="0"/>
      <w:divBdr>
        <w:top w:val="none" w:sz="0" w:space="0" w:color="auto"/>
        <w:left w:val="none" w:sz="0" w:space="0" w:color="auto"/>
        <w:bottom w:val="none" w:sz="0" w:space="0" w:color="auto"/>
        <w:right w:val="none" w:sz="0" w:space="0" w:color="auto"/>
      </w:divBdr>
    </w:div>
    <w:div w:id="855582796">
      <w:bodyDiv w:val="1"/>
      <w:marLeft w:val="0"/>
      <w:marRight w:val="0"/>
      <w:marTop w:val="0"/>
      <w:marBottom w:val="0"/>
      <w:divBdr>
        <w:top w:val="none" w:sz="0" w:space="0" w:color="auto"/>
        <w:left w:val="none" w:sz="0" w:space="0" w:color="auto"/>
        <w:bottom w:val="none" w:sz="0" w:space="0" w:color="auto"/>
        <w:right w:val="none" w:sz="0" w:space="0" w:color="auto"/>
      </w:divBdr>
    </w:div>
    <w:div w:id="858735308">
      <w:bodyDiv w:val="1"/>
      <w:marLeft w:val="0"/>
      <w:marRight w:val="0"/>
      <w:marTop w:val="0"/>
      <w:marBottom w:val="0"/>
      <w:divBdr>
        <w:top w:val="none" w:sz="0" w:space="0" w:color="auto"/>
        <w:left w:val="none" w:sz="0" w:space="0" w:color="auto"/>
        <w:bottom w:val="none" w:sz="0" w:space="0" w:color="auto"/>
        <w:right w:val="none" w:sz="0" w:space="0" w:color="auto"/>
      </w:divBdr>
      <w:divsChild>
        <w:div w:id="764961710">
          <w:marLeft w:val="0"/>
          <w:marRight w:val="0"/>
          <w:marTop w:val="0"/>
          <w:marBottom w:val="525"/>
          <w:divBdr>
            <w:top w:val="none" w:sz="0" w:space="0" w:color="auto"/>
            <w:left w:val="none" w:sz="0" w:space="0" w:color="auto"/>
            <w:bottom w:val="none" w:sz="0" w:space="0" w:color="auto"/>
            <w:right w:val="none" w:sz="0" w:space="0" w:color="auto"/>
          </w:divBdr>
          <w:divsChild>
            <w:div w:id="574977754">
              <w:marLeft w:val="0"/>
              <w:marRight w:val="0"/>
              <w:marTop w:val="0"/>
              <w:marBottom w:val="0"/>
              <w:divBdr>
                <w:top w:val="single" w:sz="6" w:space="15" w:color="E4E4E5"/>
                <w:left w:val="single" w:sz="6" w:space="15" w:color="E4E4E5"/>
                <w:bottom w:val="single" w:sz="6" w:space="15" w:color="E4E4E5"/>
                <w:right w:val="single" w:sz="6" w:space="15" w:color="E4E4E5"/>
              </w:divBdr>
              <w:divsChild>
                <w:div w:id="34818297">
                  <w:marLeft w:val="0"/>
                  <w:marRight w:val="0"/>
                  <w:marTop w:val="0"/>
                  <w:marBottom w:val="0"/>
                  <w:divBdr>
                    <w:top w:val="none" w:sz="0" w:space="0" w:color="auto"/>
                    <w:left w:val="none" w:sz="0" w:space="0" w:color="auto"/>
                    <w:bottom w:val="none" w:sz="0" w:space="0" w:color="auto"/>
                    <w:right w:val="none" w:sz="0" w:space="0" w:color="auto"/>
                  </w:divBdr>
                  <w:divsChild>
                    <w:div w:id="343096803">
                      <w:marLeft w:val="0"/>
                      <w:marRight w:val="0"/>
                      <w:marTop w:val="0"/>
                      <w:marBottom w:val="0"/>
                      <w:divBdr>
                        <w:top w:val="none" w:sz="0" w:space="0" w:color="auto"/>
                        <w:left w:val="none" w:sz="0" w:space="0" w:color="auto"/>
                        <w:bottom w:val="none" w:sz="0" w:space="0" w:color="auto"/>
                        <w:right w:val="none" w:sz="0" w:space="0" w:color="auto"/>
                      </w:divBdr>
                    </w:div>
                    <w:div w:id="1012805898">
                      <w:marLeft w:val="0"/>
                      <w:marRight w:val="0"/>
                      <w:marTop w:val="0"/>
                      <w:marBottom w:val="0"/>
                      <w:divBdr>
                        <w:top w:val="none" w:sz="0" w:space="0" w:color="auto"/>
                        <w:left w:val="none" w:sz="0" w:space="0" w:color="auto"/>
                        <w:bottom w:val="none" w:sz="0" w:space="0" w:color="auto"/>
                        <w:right w:val="none" w:sz="0" w:space="0" w:color="auto"/>
                      </w:divBdr>
                    </w:div>
                    <w:div w:id="15792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053139">
      <w:bodyDiv w:val="1"/>
      <w:marLeft w:val="0"/>
      <w:marRight w:val="0"/>
      <w:marTop w:val="0"/>
      <w:marBottom w:val="0"/>
      <w:divBdr>
        <w:top w:val="none" w:sz="0" w:space="0" w:color="auto"/>
        <w:left w:val="none" w:sz="0" w:space="0" w:color="auto"/>
        <w:bottom w:val="none" w:sz="0" w:space="0" w:color="auto"/>
        <w:right w:val="none" w:sz="0" w:space="0" w:color="auto"/>
      </w:divBdr>
    </w:div>
    <w:div w:id="879129910">
      <w:bodyDiv w:val="1"/>
      <w:marLeft w:val="0"/>
      <w:marRight w:val="0"/>
      <w:marTop w:val="0"/>
      <w:marBottom w:val="0"/>
      <w:divBdr>
        <w:top w:val="none" w:sz="0" w:space="0" w:color="auto"/>
        <w:left w:val="none" w:sz="0" w:space="0" w:color="auto"/>
        <w:bottom w:val="none" w:sz="0" w:space="0" w:color="auto"/>
        <w:right w:val="none" w:sz="0" w:space="0" w:color="auto"/>
      </w:divBdr>
    </w:div>
    <w:div w:id="893007081">
      <w:bodyDiv w:val="1"/>
      <w:marLeft w:val="0"/>
      <w:marRight w:val="0"/>
      <w:marTop w:val="0"/>
      <w:marBottom w:val="0"/>
      <w:divBdr>
        <w:top w:val="none" w:sz="0" w:space="0" w:color="auto"/>
        <w:left w:val="none" w:sz="0" w:space="0" w:color="auto"/>
        <w:bottom w:val="none" w:sz="0" w:space="0" w:color="auto"/>
        <w:right w:val="none" w:sz="0" w:space="0" w:color="auto"/>
      </w:divBdr>
    </w:div>
    <w:div w:id="896280149">
      <w:bodyDiv w:val="1"/>
      <w:marLeft w:val="0"/>
      <w:marRight w:val="0"/>
      <w:marTop w:val="0"/>
      <w:marBottom w:val="0"/>
      <w:divBdr>
        <w:top w:val="none" w:sz="0" w:space="0" w:color="auto"/>
        <w:left w:val="none" w:sz="0" w:space="0" w:color="auto"/>
        <w:bottom w:val="none" w:sz="0" w:space="0" w:color="auto"/>
        <w:right w:val="none" w:sz="0" w:space="0" w:color="auto"/>
      </w:divBdr>
      <w:divsChild>
        <w:div w:id="768159291">
          <w:marLeft w:val="418"/>
          <w:marRight w:val="0"/>
          <w:marTop w:val="86"/>
          <w:marBottom w:val="0"/>
          <w:divBdr>
            <w:top w:val="none" w:sz="0" w:space="0" w:color="auto"/>
            <w:left w:val="none" w:sz="0" w:space="0" w:color="auto"/>
            <w:bottom w:val="none" w:sz="0" w:space="0" w:color="auto"/>
            <w:right w:val="none" w:sz="0" w:space="0" w:color="auto"/>
          </w:divBdr>
        </w:div>
        <w:div w:id="591859859">
          <w:marLeft w:val="850"/>
          <w:marRight w:val="0"/>
          <w:marTop w:val="86"/>
          <w:marBottom w:val="0"/>
          <w:divBdr>
            <w:top w:val="none" w:sz="0" w:space="0" w:color="auto"/>
            <w:left w:val="none" w:sz="0" w:space="0" w:color="auto"/>
            <w:bottom w:val="none" w:sz="0" w:space="0" w:color="auto"/>
            <w:right w:val="none" w:sz="0" w:space="0" w:color="auto"/>
          </w:divBdr>
        </w:div>
        <w:div w:id="897398032">
          <w:marLeft w:val="418"/>
          <w:marRight w:val="0"/>
          <w:marTop w:val="86"/>
          <w:marBottom w:val="0"/>
          <w:divBdr>
            <w:top w:val="none" w:sz="0" w:space="0" w:color="auto"/>
            <w:left w:val="none" w:sz="0" w:space="0" w:color="auto"/>
            <w:bottom w:val="none" w:sz="0" w:space="0" w:color="auto"/>
            <w:right w:val="none" w:sz="0" w:space="0" w:color="auto"/>
          </w:divBdr>
        </w:div>
      </w:divsChild>
    </w:div>
    <w:div w:id="896822040">
      <w:bodyDiv w:val="1"/>
      <w:marLeft w:val="0"/>
      <w:marRight w:val="0"/>
      <w:marTop w:val="0"/>
      <w:marBottom w:val="0"/>
      <w:divBdr>
        <w:top w:val="none" w:sz="0" w:space="0" w:color="auto"/>
        <w:left w:val="none" w:sz="0" w:space="0" w:color="auto"/>
        <w:bottom w:val="none" w:sz="0" w:space="0" w:color="auto"/>
        <w:right w:val="none" w:sz="0" w:space="0" w:color="auto"/>
      </w:divBdr>
    </w:div>
    <w:div w:id="916129482">
      <w:bodyDiv w:val="1"/>
      <w:marLeft w:val="0"/>
      <w:marRight w:val="0"/>
      <w:marTop w:val="0"/>
      <w:marBottom w:val="0"/>
      <w:divBdr>
        <w:top w:val="none" w:sz="0" w:space="0" w:color="auto"/>
        <w:left w:val="none" w:sz="0" w:space="0" w:color="auto"/>
        <w:bottom w:val="none" w:sz="0" w:space="0" w:color="auto"/>
        <w:right w:val="none" w:sz="0" w:space="0" w:color="auto"/>
      </w:divBdr>
    </w:div>
    <w:div w:id="938370134">
      <w:bodyDiv w:val="1"/>
      <w:marLeft w:val="0"/>
      <w:marRight w:val="0"/>
      <w:marTop w:val="0"/>
      <w:marBottom w:val="0"/>
      <w:divBdr>
        <w:top w:val="none" w:sz="0" w:space="0" w:color="auto"/>
        <w:left w:val="none" w:sz="0" w:space="0" w:color="auto"/>
        <w:bottom w:val="none" w:sz="0" w:space="0" w:color="auto"/>
        <w:right w:val="none" w:sz="0" w:space="0" w:color="auto"/>
      </w:divBdr>
    </w:div>
    <w:div w:id="940181685">
      <w:bodyDiv w:val="1"/>
      <w:marLeft w:val="0"/>
      <w:marRight w:val="0"/>
      <w:marTop w:val="0"/>
      <w:marBottom w:val="0"/>
      <w:divBdr>
        <w:top w:val="none" w:sz="0" w:space="0" w:color="auto"/>
        <w:left w:val="none" w:sz="0" w:space="0" w:color="auto"/>
        <w:bottom w:val="none" w:sz="0" w:space="0" w:color="auto"/>
        <w:right w:val="none" w:sz="0" w:space="0" w:color="auto"/>
      </w:divBdr>
    </w:div>
    <w:div w:id="963660638">
      <w:bodyDiv w:val="1"/>
      <w:marLeft w:val="0"/>
      <w:marRight w:val="0"/>
      <w:marTop w:val="0"/>
      <w:marBottom w:val="0"/>
      <w:divBdr>
        <w:top w:val="none" w:sz="0" w:space="0" w:color="auto"/>
        <w:left w:val="none" w:sz="0" w:space="0" w:color="auto"/>
        <w:bottom w:val="none" w:sz="0" w:space="0" w:color="auto"/>
        <w:right w:val="none" w:sz="0" w:space="0" w:color="auto"/>
      </w:divBdr>
    </w:div>
    <w:div w:id="986132578">
      <w:bodyDiv w:val="1"/>
      <w:marLeft w:val="0"/>
      <w:marRight w:val="0"/>
      <w:marTop w:val="0"/>
      <w:marBottom w:val="0"/>
      <w:divBdr>
        <w:top w:val="none" w:sz="0" w:space="0" w:color="auto"/>
        <w:left w:val="none" w:sz="0" w:space="0" w:color="auto"/>
        <w:bottom w:val="none" w:sz="0" w:space="0" w:color="auto"/>
        <w:right w:val="none" w:sz="0" w:space="0" w:color="auto"/>
      </w:divBdr>
    </w:div>
    <w:div w:id="986590334">
      <w:bodyDiv w:val="1"/>
      <w:marLeft w:val="0"/>
      <w:marRight w:val="0"/>
      <w:marTop w:val="0"/>
      <w:marBottom w:val="0"/>
      <w:divBdr>
        <w:top w:val="none" w:sz="0" w:space="0" w:color="auto"/>
        <w:left w:val="none" w:sz="0" w:space="0" w:color="auto"/>
        <w:bottom w:val="none" w:sz="0" w:space="0" w:color="auto"/>
        <w:right w:val="none" w:sz="0" w:space="0" w:color="auto"/>
      </w:divBdr>
    </w:div>
    <w:div w:id="987977429">
      <w:bodyDiv w:val="1"/>
      <w:marLeft w:val="0"/>
      <w:marRight w:val="0"/>
      <w:marTop w:val="0"/>
      <w:marBottom w:val="0"/>
      <w:divBdr>
        <w:top w:val="none" w:sz="0" w:space="0" w:color="auto"/>
        <w:left w:val="none" w:sz="0" w:space="0" w:color="auto"/>
        <w:bottom w:val="none" w:sz="0" w:space="0" w:color="auto"/>
        <w:right w:val="none" w:sz="0" w:space="0" w:color="auto"/>
      </w:divBdr>
    </w:div>
    <w:div w:id="993219576">
      <w:bodyDiv w:val="1"/>
      <w:marLeft w:val="0"/>
      <w:marRight w:val="0"/>
      <w:marTop w:val="0"/>
      <w:marBottom w:val="0"/>
      <w:divBdr>
        <w:top w:val="none" w:sz="0" w:space="0" w:color="auto"/>
        <w:left w:val="none" w:sz="0" w:space="0" w:color="auto"/>
        <w:bottom w:val="none" w:sz="0" w:space="0" w:color="auto"/>
        <w:right w:val="none" w:sz="0" w:space="0" w:color="auto"/>
      </w:divBdr>
    </w:div>
    <w:div w:id="997341894">
      <w:bodyDiv w:val="1"/>
      <w:marLeft w:val="0"/>
      <w:marRight w:val="0"/>
      <w:marTop w:val="0"/>
      <w:marBottom w:val="0"/>
      <w:divBdr>
        <w:top w:val="none" w:sz="0" w:space="0" w:color="auto"/>
        <w:left w:val="none" w:sz="0" w:space="0" w:color="auto"/>
        <w:bottom w:val="none" w:sz="0" w:space="0" w:color="auto"/>
        <w:right w:val="none" w:sz="0" w:space="0" w:color="auto"/>
      </w:divBdr>
    </w:div>
    <w:div w:id="1000893948">
      <w:bodyDiv w:val="1"/>
      <w:marLeft w:val="0"/>
      <w:marRight w:val="0"/>
      <w:marTop w:val="0"/>
      <w:marBottom w:val="0"/>
      <w:divBdr>
        <w:top w:val="none" w:sz="0" w:space="0" w:color="auto"/>
        <w:left w:val="none" w:sz="0" w:space="0" w:color="auto"/>
        <w:bottom w:val="none" w:sz="0" w:space="0" w:color="auto"/>
        <w:right w:val="none" w:sz="0" w:space="0" w:color="auto"/>
      </w:divBdr>
    </w:div>
    <w:div w:id="1001617450">
      <w:bodyDiv w:val="1"/>
      <w:marLeft w:val="0"/>
      <w:marRight w:val="0"/>
      <w:marTop w:val="0"/>
      <w:marBottom w:val="0"/>
      <w:divBdr>
        <w:top w:val="none" w:sz="0" w:space="0" w:color="auto"/>
        <w:left w:val="none" w:sz="0" w:space="0" w:color="auto"/>
        <w:bottom w:val="none" w:sz="0" w:space="0" w:color="auto"/>
        <w:right w:val="none" w:sz="0" w:space="0" w:color="auto"/>
      </w:divBdr>
    </w:div>
    <w:div w:id="1030255029">
      <w:bodyDiv w:val="1"/>
      <w:marLeft w:val="0"/>
      <w:marRight w:val="0"/>
      <w:marTop w:val="0"/>
      <w:marBottom w:val="0"/>
      <w:divBdr>
        <w:top w:val="none" w:sz="0" w:space="0" w:color="auto"/>
        <w:left w:val="none" w:sz="0" w:space="0" w:color="auto"/>
        <w:bottom w:val="none" w:sz="0" w:space="0" w:color="auto"/>
        <w:right w:val="none" w:sz="0" w:space="0" w:color="auto"/>
      </w:divBdr>
    </w:div>
    <w:div w:id="1031762028">
      <w:bodyDiv w:val="1"/>
      <w:marLeft w:val="0"/>
      <w:marRight w:val="0"/>
      <w:marTop w:val="0"/>
      <w:marBottom w:val="0"/>
      <w:divBdr>
        <w:top w:val="none" w:sz="0" w:space="0" w:color="auto"/>
        <w:left w:val="none" w:sz="0" w:space="0" w:color="auto"/>
        <w:bottom w:val="none" w:sz="0" w:space="0" w:color="auto"/>
        <w:right w:val="none" w:sz="0" w:space="0" w:color="auto"/>
      </w:divBdr>
    </w:div>
    <w:div w:id="1032346046">
      <w:bodyDiv w:val="1"/>
      <w:marLeft w:val="0"/>
      <w:marRight w:val="0"/>
      <w:marTop w:val="0"/>
      <w:marBottom w:val="0"/>
      <w:divBdr>
        <w:top w:val="none" w:sz="0" w:space="0" w:color="auto"/>
        <w:left w:val="none" w:sz="0" w:space="0" w:color="auto"/>
        <w:bottom w:val="none" w:sz="0" w:space="0" w:color="auto"/>
        <w:right w:val="none" w:sz="0" w:space="0" w:color="auto"/>
      </w:divBdr>
    </w:div>
    <w:div w:id="1042828254">
      <w:bodyDiv w:val="1"/>
      <w:marLeft w:val="0"/>
      <w:marRight w:val="0"/>
      <w:marTop w:val="0"/>
      <w:marBottom w:val="0"/>
      <w:divBdr>
        <w:top w:val="none" w:sz="0" w:space="0" w:color="auto"/>
        <w:left w:val="none" w:sz="0" w:space="0" w:color="auto"/>
        <w:bottom w:val="none" w:sz="0" w:space="0" w:color="auto"/>
        <w:right w:val="none" w:sz="0" w:space="0" w:color="auto"/>
      </w:divBdr>
    </w:div>
    <w:div w:id="1049960130">
      <w:bodyDiv w:val="1"/>
      <w:marLeft w:val="0"/>
      <w:marRight w:val="0"/>
      <w:marTop w:val="0"/>
      <w:marBottom w:val="0"/>
      <w:divBdr>
        <w:top w:val="none" w:sz="0" w:space="0" w:color="auto"/>
        <w:left w:val="none" w:sz="0" w:space="0" w:color="auto"/>
        <w:bottom w:val="none" w:sz="0" w:space="0" w:color="auto"/>
        <w:right w:val="none" w:sz="0" w:space="0" w:color="auto"/>
      </w:divBdr>
    </w:div>
    <w:div w:id="1063793207">
      <w:bodyDiv w:val="1"/>
      <w:marLeft w:val="0"/>
      <w:marRight w:val="0"/>
      <w:marTop w:val="0"/>
      <w:marBottom w:val="0"/>
      <w:divBdr>
        <w:top w:val="none" w:sz="0" w:space="0" w:color="auto"/>
        <w:left w:val="none" w:sz="0" w:space="0" w:color="auto"/>
        <w:bottom w:val="none" w:sz="0" w:space="0" w:color="auto"/>
        <w:right w:val="none" w:sz="0" w:space="0" w:color="auto"/>
      </w:divBdr>
    </w:div>
    <w:div w:id="1092051234">
      <w:bodyDiv w:val="1"/>
      <w:marLeft w:val="0"/>
      <w:marRight w:val="0"/>
      <w:marTop w:val="0"/>
      <w:marBottom w:val="0"/>
      <w:divBdr>
        <w:top w:val="none" w:sz="0" w:space="0" w:color="auto"/>
        <w:left w:val="none" w:sz="0" w:space="0" w:color="auto"/>
        <w:bottom w:val="none" w:sz="0" w:space="0" w:color="auto"/>
        <w:right w:val="none" w:sz="0" w:space="0" w:color="auto"/>
      </w:divBdr>
    </w:div>
    <w:div w:id="1094132566">
      <w:bodyDiv w:val="1"/>
      <w:marLeft w:val="0"/>
      <w:marRight w:val="0"/>
      <w:marTop w:val="0"/>
      <w:marBottom w:val="0"/>
      <w:divBdr>
        <w:top w:val="none" w:sz="0" w:space="0" w:color="auto"/>
        <w:left w:val="none" w:sz="0" w:space="0" w:color="auto"/>
        <w:bottom w:val="none" w:sz="0" w:space="0" w:color="auto"/>
        <w:right w:val="none" w:sz="0" w:space="0" w:color="auto"/>
      </w:divBdr>
    </w:div>
    <w:div w:id="1096907060">
      <w:bodyDiv w:val="1"/>
      <w:marLeft w:val="0"/>
      <w:marRight w:val="0"/>
      <w:marTop w:val="0"/>
      <w:marBottom w:val="0"/>
      <w:divBdr>
        <w:top w:val="none" w:sz="0" w:space="0" w:color="auto"/>
        <w:left w:val="none" w:sz="0" w:space="0" w:color="auto"/>
        <w:bottom w:val="none" w:sz="0" w:space="0" w:color="auto"/>
        <w:right w:val="none" w:sz="0" w:space="0" w:color="auto"/>
      </w:divBdr>
    </w:div>
    <w:div w:id="1133865268">
      <w:bodyDiv w:val="1"/>
      <w:marLeft w:val="0"/>
      <w:marRight w:val="0"/>
      <w:marTop w:val="0"/>
      <w:marBottom w:val="0"/>
      <w:divBdr>
        <w:top w:val="none" w:sz="0" w:space="0" w:color="auto"/>
        <w:left w:val="none" w:sz="0" w:space="0" w:color="auto"/>
        <w:bottom w:val="none" w:sz="0" w:space="0" w:color="auto"/>
        <w:right w:val="none" w:sz="0" w:space="0" w:color="auto"/>
      </w:divBdr>
    </w:div>
    <w:div w:id="1140154768">
      <w:bodyDiv w:val="1"/>
      <w:marLeft w:val="0"/>
      <w:marRight w:val="0"/>
      <w:marTop w:val="0"/>
      <w:marBottom w:val="0"/>
      <w:divBdr>
        <w:top w:val="none" w:sz="0" w:space="0" w:color="auto"/>
        <w:left w:val="none" w:sz="0" w:space="0" w:color="auto"/>
        <w:bottom w:val="none" w:sz="0" w:space="0" w:color="auto"/>
        <w:right w:val="none" w:sz="0" w:space="0" w:color="auto"/>
      </w:divBdr>
      <w:divsChild>
        <w:div w:id="907807596">
          <w:marLeft w:val="0"/>
          <w:marRight w:val="0"/>
          <w:marTop w:val="0"/>
          <w:marBottom w:val="0"/>
          <w:divBdr>
            <w:top w:val="none" w:sz="0" w:space="0" w:color="auto"/>
            <w:left w:val="none" w:sz="0" w:space="0" w:color="auto"/>
            <w:bottom w:val="none" w:sz="0" w:space="0" w:color="auto"/>
            <w:right w:val="none" w:sz="0" w:space="0" w:color="auto"/>
          </w:divBdr>
        </w:div>
      </w:divsChild>
    </w:div>
    <w:div w:id="1149401472">
      <w:bodyDiv w:val="1"/>
      <w:marLeft w:val="0"/>
      <w:marRight w:val="0"/>
      <w:marTop w:val="0"/>
      <w:marBottom w:val="0"/>
      <w:divBdr>
        <w:top w:val="none" w:sz="0" w:space="0" w:color="auto"/>
        <w:left w:val="none" w:sz="0" w:space="0" w:color="auto"/>
        <w:bottom w:val="none" w:sz="0" w:space="0" w:color="auto"/>
        <w:right w:val="none" w:sz="0" w:space="0" w:color="auto"/>
      </w:divBdr>
    </w:div>
    <w:div w:id="1181967269">
      <w:bodyDiv w:val="1"/>
      <w:marLeft w:val="0"/>
      <w:marRight w:val="0"/>
      <w:marTop w:val="0"/>
      <w:marBottom w:val="0"/>
      <w:divBdr>
        <w:top w:val="none" w:sz="0" w:space="0" w:color="auto"/>
        <w:left w:val="none" w:sz="0" w:space="0" w:color="auto"/>
        <w:bottom w:val="none" w:sz="0" w:space="0" w:color="auto"/>
        <w:right w:val="none" w:sz="0" w:space="0" w:color="auto"/>
      </w:divBdr>
      <w:divsChild>
        <w:div w:id="651570131">
          <w:marLeft w:val="0"/>
          <w:marRight w:val="0"/>
          <w:marTop w:val="0"/>
          <w:marBottom w:val="525"/>
          <w:divBdr>
            <w:top w:val="none" w:sz="0" w:space="0" w:color="auto"/>
            <w:left w:val="none" w:sz="0" w:space="0" w:color="auto"/>
            <w:bottom w:val="none" w:sz="0" w:space="0" w:color="auto"/>
            <w:right w:val="none" w:sz="0" w:space="0" w:color="auto"/>
          </w:divBdr>
          <w:divsChild>
            <w:div w:id="586036135">
              <w:marLeft w:val="0"/>
              <w:marRight w:val="0"/>
              <w:marTop w:val="0"/>
              <w:marBottom w:val="0"/>
              <w:divBdr>
                <w:top w:val="single" w:sz="6" w:space="15" w:color="E4E4E5"/>
                <w:left w:val="single" w:sz="6" w:space="15" w:color="E4E4E5"/>
                <w:bottom w:val="single" w:sz="6" w:space="15" w:color="E4E4E5"/>
                <w:right w:val="single" w:sz="6" w:space="15" w:color="E4E4E5"/>
              </w:divBdr>
              <w:divsChild>
                <w:div w:id="161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370649">
      <w:bodyDiv w:val="1"/>
      <w:marLeft w:val="0"/>
      <w:marRight w:val="0"/>
      <w:marTop w:val="0"/>
      <w:marBottom w:val="0"/>
      <w:divBdr>
        <w:top w:val="none" w:sz="0" w:space="0" w:color="auto"/>
        <w:left w:val="none" w:sz="0" w:space="0" w:color="auto"/>
        <w:bottom w:val="none" w:sz="0" w:space="0" w:color="auto"/>
        <w:right w:val="none" w:sz="0" w:space="0" w:color="auto"/>
      </w:divBdr>
    </w:div>
    <w:div w:id="1225683572">
      <w:bodyDiv w:val="1"/>
      <w:marLeft w:val="0"/>
      <w:marRight w:val="0"/>
      <w:marTop w:val="0"/>
      <w:marBottom w:val="0"/>
      <w:divBdr>
        <w:top w:val="none" w:sz="0" w:space="0" w:color="auto"/>
        <w:left w:val="none" w:sz="0" w:space="0" w:color="auto"/>
        <w:bottom w:val="none" w:sz="0" w:space="0" w:color="auto"/>
        <w:right w:val="none" w:sz="0" w:space="0" w:color="auto"/>
      </w:divBdr>
    </w:div>
    <w:div w:id="1244410529">
      <w:bodyDiv w:val="1"/>
      <w:marLeft w:val="0"/>
      <w:marRight w:val="0"/>
      <w:marTop w:val="0"/>
      <w:marBottom w:val="0"/>
      <w:divBdr>
        <w:top w:val="none" w:sz="0" w:space="0" w:color="auto"/>
        <w:left w:val="none" w:sz="0" w:space="0" w:color="auto"/>
        <w:bottom w:val="none" w:sz="0" w:space="0" w:color="auto"/>
        <w:right w:val="none" w:sz="0" w:space="0" w:color="auto"/>
      </w:divBdr>
    </w:div>
    <w:div w:id="1288707155">
      <w:bodyDiv w:val="1"/>
      <w:marLeft w:val="0"/>
      <w:marRight w:val="0"/>
      <w:marTop w:val="0"/>
      <w:marBottom w:val="0"/>
      <w:divBdr>
        <w:top w:val="none" w:sz="0" w:space="0" w:color="auto"/>
        <w:left w:val="none" w:sz="0" w:space="0" w:color="auto"/>
        <w:bottom w:val="none" w:sz="0" w:space="0" w:color="auto"/>
        <w:right w:val="none" w:sz="0" w:space="0" w:color="auto"/>
      </w:divBdr>
    </w:div>
    <w:div w:id="1299922806">
      <w:bodyDiv w:val="1"/>
      <w:marLeft w:val="0"/>
      <w:marRight w:val="0"/>
      <w:marTop w:val="0"/>
      <w:marBottom w:val="0"/>
      <w:divBdr>
        <w:top w:val="none" w:sz="0" w:space="0" w:color="auto"/>
        <w:left w:val="none" w:sz="0" w:space="0" w:color="auto"/>
        <w:bottom w:val="none" w:sz="0" w:space="0" w:color="auto"/>
        <w:right w:val="none" w:sz="0" w:space="0" w:color="auto"/>
      </w:divBdr>
    </w:div>
    <w:div w:id="1306931079">
      <w:bodyDiv w:val="1"/>
      <w:marLeft w:val="0"/>
      <w:marRight w:val="0"/>
      <w:marTop w:val="0"/>
      <w:marBottom w:val="0"/>
      <w:divBdr>
        <w:top w:val="none" w:sz="0" w:space="0" w:color="auto"/>
        <w:left w:val="none" w:sz="0" w:space="0" w:color="auto"/>
        <w:bottom w:val="none" w:sz="0" w:space="0" w:color="auto"/>
        <w:right w:val="none" w:sz="0" w:space="0" w:color="auto"/>
      </w:divBdr>
    </w:div>
    <w:div w:id="1322929533">
      <w:bodyDiv w:val="1"/>
      <w:marLeft w:val="0"/>
      <w:marRight w:val="0"/>
      <w:marTop w:val="0"/>
      <w:marBottom w:val="0"/>
      <w:divBdr>
        <w:top w:val="none" w:sz="0" w:space="0" w:color="auto"/>
        <w:left w:val="none" w:sz="0" w:space="0" w:color="auto"/>
        <w:bottom w:val="none" w:sz="0" w:space="0" w:color="auto"/>
        <w:right w:val="none" w:sz="0" w:space="0" w:color="auto"/>
      </w:divBdr>
    </w:div>
    <w:div w:id="1343361828">
      <w:bodyDiv w:val="1"/>
      <w:marLeft w:val="0"/>
      <w:marRight w:val="0"/>
      <w:marTop w:val="0"/>
      <w:marBottom w:val="0"/>
      <w:divBdr>
        <w:top w:val="none" w:sz="0" w:space="0" w:color="auto"/>
        <w:left w:val="none" w:sz="0" w:space="0" w:color="auto"/>
        <w:bottom w:val="none" w:sz="0" w:space="0" w:color="auto"/>
        <w:right w:val="none" w:sz="0" w:space="0" w:color="auto"/>
      </w:divBdr>
    </w:div>
    <w:div w:id="1359698420">
      <w:bodyDiv w:val="1"/>
      <w:marLeft w:val="0"/>
      <w:marRight w:val="0"/>
      <w:marTop w:val="0"/>
      <w:marBottom w:val="0"/>
      <w:divBdr>
        <w:top w:val="none" w:sz="0" w:space="0" w:color="auto"/>
        <w:left w:val="none" w:sz="0" w:space="0" w:color="auto"/>
        <w:bottom w:val="none" w:sz="0" w:space="0" w:color="auto"/>
        <w:right w:val="none" w:sz="0" w:space="0" w:color="auto"/>
      </w:divBdr>
    </w:div>
    <w:div w:id="1370688206">
      <w:bodyDiv w:val="1"/>
      <w:marLeft w:val="0"/>
      <w:marRight w:val="0"/>
      <w:marTop w:val="0"/>
      <w:marBottom w:val="0"/>
      <w:divBdr>
        <w:top w:val="none" w:sz="0" w:space="0" w:color="auto"/>
        <w:left w:val="none" w:sz="0" w:space="0" w:color="auto"/>
        <w:bottom w:val="none" w:sz="0" w:space="0" w:color="auto"/>
        <w:right w:val="none" w:sz="0" w:space="0" w:color="auto"/>
      </w:divBdr>
    </w:div>
    <w:div w:id="1386683877">
      <w:bodyDiv w:val="1"/>
      <w:marLeft w:val="0"/>
      <w:marRight w:val="0"/>
      <w:marTop w:val="0"/>
      <w:marBottom w:val="0"/>
      <w:divBdr>
        <w:top w:val="none" w:sz="0" w:space="0" w:color="auto"/>
        <w:left w:val="none" w:sz="0" w:space="0" w:color="auto"/>
        <w:bottom w:val="none" w:sz="0" w:space="0" w:color="auto"/>
        <w:right w:val="none" w:sz="0" w:space="0" w:color="auto"/>
      </w:divBdr>
    </w:div>
    <w:div w:id="1387218631">
      <w:bodyDiv w:val="1"/>
      <w:marLeft w:val="0"/>
      <w:marRight w:val="0"/>
      <w:marTop w:val="0"/>
      <w:marBottom w:val="0"/>
      <w:divBdr>
        <w:top w:val="none" w:sz="0" w:space="0" w:color="auto"/>
        <w:left w:val="none" w:sz="0" w:space="0" w:color="auto"/>
        <w:bottom w:val="none" w:sz="0" w:space="0" w:color="auto"/>
        <w:right w:val="none" w:sz="0" w:space="0" w:color="auto"/>
      </w:divBdr>
    </w:div>
    <w:div w:id="1394742710">
      <w:bodyDiv w:val="1"/>
      <w:marLeft w:val="0"/>
      <w:marRight w:val="0"/>
      <w:marTop w:val="0"/>
      <w:marBottom w:val="0"/>
      <w:divBdr>
        <w:top w:val="none" w:sz="0" w:space="0" w:color="auto"/>
        <w:left w:val="none" w:sz="0" w:space="0" w:color="auto"/>
        <w:bottom w:val="none" w:sz="0" w:space="0" w:color="auto"/>
        <w:right w:val="none" w:sz="0" w:space="0" w:color="auto"/>
      </w:divBdr>
    </w:div>
    <w:div w:id="1417508277">
      <w:bodyDiv w:val="1"/>
      <w:marLeft w:val="0"/>
      <w:marRight w:val="0"/>
      <w:marTop w:val="0"/>
      <w:marBottom w:val="0"/>
      <w:divBdr>
        <w:top w:val="none" w:sz="0" w:space="0" w:color="auto"/>
        <w:left w:val="none" w:sz="0" w:space="0" w:color="auto"/>
        <w:bottom w:val="none" w:sz="0" w:space="0" w:color="auto"/>
        <w:right w:val="none" w:sz="0" w:space="0" w:color="auto"/>
      </w:divBdr>
    </w:div>
    <w:div w:id="1426807853">
      <w:bodyDiv w:val="1"/>
      <w:marLeft w:val="0"/>
      <w:marRight w:val="0"/>
      <w:marTop w:val="0"/>
      <w:marBottom w:val="0"/>
      <w:divBdr>
        <w:top w:val="none" w:sz="0" w:space="0" w:color="auto"/>
        <w:left w:val="none" w:sz="0" w:space="0" w:color="auto"/>
        <w:bottom w:val="none" w:sz="0" w:space="0" w:color="auto"/>
        <w:right w:val="none" w:sz="0" w:space="0" w:color="auto"/>
      </w:divBdr>
    </w:div>
    <w:div w:id="1476143873">
      <w:bodyDiv w:val="1"/>
      <w:marLeft w:val="0"/>
      <w:marRight w:val="0"/>
      <w:marTop w:val="0"/>
      <w:marBottom w:val="0"/>
      <w:divBdr>
        <w:top w:val="none" w:sz="0" w:space="0" w:color="auto"/>
        <w:left w:val="none" w:sz="0" w:space="0" w:color="auto"/>
        <w:bottom w:val="none" w:sz="0" w:space="0" w:color="auto"/>
        <w:right w:val="none" w:sz="0" w:space="0" w:color="auto"/>
      </w:divBdr>
    </w:div>
    <w:div w:id="1545212323">
      <w:bodyDiv w:val="1"/>
      <w:marLeft w:val="0"/>
      <w:marRight w:val="0"/>
      <w:marTop w:val="0"/>
      <w:marBottom w:val="0"/>
      <w:divBdr>
        <w:top w:val="none" w:sz="0" w:space="0" w:color="auto"/>
        <w:left w:val="none" w:sz="0" w:space="0" w:color="auto"/>
        <w:bottom w:val="none" w:sz="0" w:space="0" w:color="auto"/>
        <w:right w:val="none" w:sz="0" w:space="0" w:color="auto"/>
      </w:divBdr>
    </w:div>
    <w:div w:id="1581138298">
      <w:bodyDiv w:val="1"/>
      <w:marLeft w:val="0"/>
      <w:marRight w:val="0"/>
      <w:marTop w:val="0"/>
      <w:marBottom w:val="0"/>
      <w:divBdr>
        <w:top w:val="none" w:sz="0" w:space="0" w:color="auto"/>
        <w:left w:val="none" w:sz="0" w:space="0" w:color="auto"/>
        <w:bottom w:val="none" w:sz="0" w:space="0" w:color="auto"/>
        <w:right w:val="none" w:sz="0" w:space="0" w:color="auto"/>
      </w:divBdr>
    </w:div>
    <w:div w:id="1677688031">
      <w:bodyDiv w:val="1"/>
      <w:marLeft w:val="0"/>
      <w:marRight w:val="0"/>
      <w:marTop w:val="0"/>
      <w:marBottom w:val="0"/>
      <w:divBdr>
        <w:top w:val="none" w:sz="0" w:space="0" w:color="auto"/>
        <w:left w:val="none" w:sz="0" w:space="0" w:color="auto"/>
        <w:bottom w:val="none" w:sz="0" w:space="0" w:color="auto"/>
        <w:right w:val="none" w:sz="0" w:space="0" w:color="auto"/>
      </w:divBdr>
    </w:div>
    <w:div w:id="1737632098">
      <w:bodyDiv w:val="1"/>
      <w:marLeft w:val="0"/>
      <w:marRight w:val="0"/>
      <w:marTop w:val="0"/>
      <w:marBottom w:val="0"/>
      <w:divBdr>
        <w:top w:val="none" w:sz="0" w:space="0" w:color="auto"/>
        <w:left w:val="none" w:sz="0" w:space="0" w:color="auto"/>
        <w:bottom w:val="none" w:sz="0" w:space="0" w:color="auto"/>
        <w:right w:val="none" w:sz="0" w:space="0" w:color="auto"/>
      </w:divBdr>
    </w:div>
    <w:div w:id="1751346986">
      <w:bodyDiv w:val="1"/>
      <w:marLeft w:val="0"/>
      <w:marRight w:val="0"/>
      <w:marTop w:val="0"/>
      <w:marBottom w:val="0"/>
      <w:divBdr>
        <w:top w:val="none" w:sz="0" w:space="0" w:color="auto"/>
        <w:left w:val="none" w:sz="0" w:space="0" w:color="auto"/>
        <w:bottom w:val="none" w:sz="0" w:space="0" w:color="auto"/>
        <w:right w:val="none" w:sz="0" w:space="0" w:color="auto"/>
      </w:divBdr>
      <w:divsChild>
        <w:div w:id="824396818">
          <w:marLeft w:val="0"/>
          <w:marRight w:val="0"/>
          <w:marTop w:val="0"/>
          <w:marBottom w:val="525"/>
          <w:divBdr>
            <w:top w:val="none" w:sz="0" w:space="0" w:color="auto"/>
            <w:left w:val="none" w:sz="0" w:space="0" w:color="auto"/>
            <w:bottom w:val="none" w:sz="0" w:space="0" w:color="auto"/>
            <w:right w:val="none" w:sz="0" w:space="0" w:color="auto"/>
          </w:divBdr>
          <w:divsChild>
            <w:div w:id="466975634">
              <w:marLeft w:val="0"/>
              <w:marRight w:val="0"/>
              <w:marTop w:val="0"/>
              <w:marBottom w:val="0"/>
              <w:divBdr>
                <w:top w:val="none" w:sz="0" w:space="0" w:color="auto"/>
                <w:left w:val="none" w:sz="0" w:space="0" w:color="auto"/>
                <w:bottom w:val="none" w:sz="0" w:space="0" w:color="auto"/>
                <w:right w:val="none" w:sz="0" w:space="0" w:color="auto"/>
              </w:divBdr>
              <w:divsChild>
                <w:div w:id="301229696">
                  <w:marLeft w:val="0"/>
                  <w:marRight w:val="0"/>
                  <w:marTop w:val="0"/>
                  <w:marBottom w:val="0"/>
                  <w:divBdr>
                    <w:top w:val="none" w:sz="0" w:space="0" w:color="auto"/>
                    <w:left w:val="none" w:sz="0" w:space="0" w:color="auto"/>
                    <w:bottom w:val="none" w:sz="0" w:space="0" w:color="auto"/>
                    <w:right w:val="none" w:sz="0" w:space="0" w:color="auto"/>
                  </w:divBdr>
                </w:div>
                <w:div w:id="1026716961">
                  <w:marLeft w:val="0"/>
                  <w:marRight w:val="0"/>
                  <w:marTop w:val="0"/>
                  <w:marBottom w:val="0"/>
                  <w:divBdr>
                    <w:top w:val="none" w:sz="0" w:space="0" w:color="auto"/>
                    <w:left w:val="none" w:sz="0" w:space="0" w:color="auto"/>
                    <w:bottom w:val="none" w:sz="0" w:space="0" w:color="auto"/>
                    <w:right w:val="none" w:sz="0" w:space="0" w:color="auto"/>
                  </w:divBdr>
                  <w:divsChild>
                    <w:div w:id="16435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82595">
      <w:bodyDiv w:val="1"/>
      <w:marLeft w:val="0"/>
      <w:marRight w:val="0"/>
      <w:marTop w:val="0"/>
      <w:marBottom w:val="0"/>
      <w:divBdr>
        <w:top w:val="none" w:sz="0" w:space="0" w:color="auto"/>
        <w:left w:val="none" w:sz="0" w:space="0" w:color="auto"/>
        <w:bottom w:val="none" w:sz="0" w:space="0" w:color="auto"/>
        <w:right w:val="none" w:sz="0" w:space="0" w:color="auto"/>
      </w:divBdr>
    </w:div>
    <w:div w:id="1780905178">
      <w:bodyDiv w:val="1"/>
      <w:marLeft w:val="0"/>
      <w:marRight w:val="0"/>
      <w:marTop w:val="0"/>
      <w:marBottom w:val="0"/>
      <w:divBdr>
        <w:top w:val="none" w:sz="0" w:space="0" w:color="auto"/>
        <w:left w:val="none" w:sz="0" w:space="0" w:color="auto"/>
        <w:bottom w:val="none" w:sz="0" w:space="0" w:color="auto"/>
        <w:right w:val="none" w:sz="0" w:space="0" w:color="auto"/>
      </w:divBdr>
    </w:div>
    <w:div w:id="1787849972">
      <w:bodyDiv w:val="1"/>
      <w:marLeft w:val="0"/>
      <w:marRight w:val="0"/>
      <w:marTop w:val="0"/>
      <w:marBottom w:val="0"/>
      <w:divBdr>
        <w:top w:val="none" w:sz="0" w:space="0" w:color="auto"/>
        <w:left w:val="none" w:sz="0" w:space="0" w:color="auto"/>
        <w:bottom w:val="none" w:sz="0" w:space="0" w:color="auto"/>
        <w:right w:val="none" w:sz="0" w:space="0" w:color="auto"/>
      </w:divBdr>
    </w:div>
    <w:div w:id="1806506787">
      <w:bodyDiv w:val="1"/>
      <w:marLeft w:val="0"/>
      <w:marRight w:val="0"/>
      <w:marTop w:val="0"/>
      <w:marBottom w:val="0"/>
      <w:divBdr>
        <w:top w:val="none" w:sz="0" w:space="0" w:color="auto"/>
        <w:left w:val="none" w:sz="0" w:space="0" w:color="auto"/>
        <w:bottom w:val="none" w:sz="0" w:space="0" w:color="auto"/>
        <w:right w:val="none" w:sz="0" w:space="0" w:color="auto"/>
      </w:divBdr>
    </w:div>
    <w:div w:id="1807821553">
      <w:bodyDiv w:val="1"/>
      <w:marLeft w:val="0"/>
      <w:marRight w:val="0"/>
      <w:marTop w:val="0"/>
      <w:marBottom w:val="0"/>
      <w:divBdr>
        <w:top w:val="none" w:sz="0" w:space="0" w:color="auto"/>
        <w:left w:val="none" w:sz="0" w:space="0" w:color="auto"/>
        <w:bottom w:val="none" w:sz="0" w:space="0" w:color="auto"/>
        <w:right w:val="none" w:sz="0" w:space="0" w:color="auto"/>
      </w:divBdr>
    </w:div>
    <w:div w:id="1813282446">
      <w:bodyDiv w:val="1"/>
      <w:marLeft w:val="0"/>
      <w:marRight w:val="0"/>
      <w:marTop w:val="0"/>
      <w:marBottom w:val="0"/>
      <w:divBdr>
        <w:top w:val="none" w:sz="0" w:space="0" w:color="auto"/>
        <w:left w:val="none" w:sz="0" w:space="0" w:color="auto"/>
        <w:bottom w:val="none" w:sz="0" w:space="0" w:color="auto"/>
        <w:right w:val="none" w:sz="0" w:space="0" w:color="auto"/>
      </w:divBdr>
    </w:div>
    <w:div w:id="1814517148">
      <w:bodyDiv w:val="1"/>
      <w:marLeft w:val="0"/>
      <w:marRight w:val="0"/>
      <w:marTop w:val="0"/>
      <w:marBottom w:val="0"/>
      <w:divBdr>
        <w:top w:val="none" w:sz="0" w:space="0" w:color="auto"/>
        <w:left w:val="none" w:sz="0" w:space="0" w:color="auto"/>
        <w:bottom w:val="none" w:sz="0" w:space="0" w:color="auto"/>
        <w:right w:val="none" w:sz="0" w:space="0" w:color="auto"/>
      </w:divBdr>
    </w:div>
    <w:div w:id="1824464370">
      <w:bodyDiv w:val="1"/>
      <w:marLeft w:val="0"/>
      <w:marRight w:val="0"/>
      <w:marTop w:val="0"/>
      <w:marBottom w:val="0"/>
      <w:divBdr>
        <w:top w:val="none" w:sz="0" w:space="0" w:color="auto"/>
        <w:left w:val="none" w:sz="0" w:space="0" w:color="auto"/>
        <w:bottom w:val="none" w:sz="0" w:space="0" w:color="auto"/>
        <w:right w:val="none" w:sz="0" w:space="0" w:color="auto"/>
      </w:divBdr>
    </w:div>
    <w:div w:id="1824538872">
      <w:bodyDiv w:val="1"/>
      <w:marLeft w:val="0"/>
      <w:marRight w:val="0"/>
      <w:marTop w:val="0"/>
      <w:marBottom w:val="0"/>
      <w:divBdr>
        <w:top w:val="none" w:sz="0" w:space="0" w:color="auto"/>
        <w:left w:val="none" w:sz="0" w:space="0" w:color="auto"/>
        <w:bottom w:val="none" w:sz="0" w:space="0" w:color="auto"/>
        <w:right w:val="none" w:sz="0" w:space="0" w:color="auto"/>
      </w:divBdr>
    </w:div>
    <w:div w:id="1826242310">
      <w:bodyDiv w:val="1"/>
      <w:marLeft w:val="0"/>
      <w:marRight w:val="0"/>
      <w:marTop w:val="0"/>
      <w:marBottom w:val="0"/>
      <w:divBdr>
        <w:top w:val="none" w:sz="0" w:space="0" w:color="auto"/>
        <w:left w:val="none" w:sz="0" w:space="0" w:color="auto"/>
        <w:bottom w:val="none" w:sz="0" w:space="0" w:color="auto"/>
        <w:right w:val="none" w:sz="0" w:space="0" w:color="auto"/>
      </w:divBdr>
    </w:div>
    <w:div w:id="1827042428">
      <w:bodyDiv w:val="1"/>
      <w:marLeft w:val="0"/>
      <w:marRight w:val="0"/>
      <w:marTop w:val="0"/>
      <w:marBottom w:val="0"/>
      <w:divBdr>
        <w:top w:val="none" w:sz="0" w:space="0" w:color="auto"/>
        <w:left w:val="none" w:sz="0" w:space="0" w:color="auto"/>
        <w:bottom w:val="none" w:sz="0" w:space="0" w:color="auto"/>
        <w:right w:val="none" w:sz="0" w:space="0" w:color="auto"/>
      </w:divBdr>
    </w:div>
    <w:div w:id="1835992023">
      <w:bodyDiv w:val="1"/>
      <w:marLeft w:val="0"/>
      <w:marRight w:val="0"/>
      <w:marTop w:val="0"/>
      <w:marBottom w:val="0"/>
      <w:divBdr>
        <w:top w:val="none" w:sz="0" w:space="0" w:color="auto"/>
        <w:left w:val="none" w:sz="0" w:space="0" w:color="auto"/>
        <w:bottom w:val="none" w:sz="0" w:space="0" w:color="auto"/>
        <w:right w:val="none" w:sz="0" w:space="0" w:color="auto"/>
      </w:divBdr>
    </w:div>
    <w:div w:id="1838569680">
      <w:bodyDiv w:val="1"/>
      <w:marLeft w:val="0"/>
      <w:marRight w:val="0"/>
      <w:marTop w:val="0"/>
      <w:marBottom w:val="0"/>
      <w:divBdr>
        <w:top w:val="none" w:sz="0" w:space="0" w:color="auto"/>
        <w:left w:val="none" w:sz="0" w:space="0" w:color="auto"/>
        <w:bottom w:val="none" w:sz="0" w:space="0" w:color="auto"/>
        <w:right w:val="none" w:sz="0" w:space="0" w:color="auto"/>
      </w:divBdr>
    </w:div>
    <w:div w:id="1845902634">
      <w:bodyDiv w:val="1"/>
      <w:marLeft w:val="0"/>
      <w:marRight w:val="0"/>
      <w:marTop w:val="0"/>
      <w:marBottom w:val="0"/>
      <w:divBdr>
        <w:top w:val="none" w:sz="0" w:space="0" w:color="auto"/>
        <w:left w:val="none" w:sz="0" w:space="0" w:color="auto"/>
        <w:bottom w:val="none" w:sz="0" w:space="0" w:color="auto"/>
        <w:right w:val="none" w:sz="0" w:space="0" w:color="auto"/>
      </w:divBdr>
    </w:div>
    <w:div w:id="1848254245">
      <w:bodyDiv w:val="1"/>
      <w:marLeft w:val="0"/>
      <w:marRight w:val="0"/>
      <w:marTop w:val="0"/>
      <w:marBottom w:val="0"/>
      <w:divBdr>
        <w:top w:val="none" w:sz="0" w:space="0" w:color="auto"/>
        <w:left w:val="none" w:sz="0" w:space="0" w:color="auto"/>
        <w:bottom w:val="none" w:sz="0" w:space="0" w:color="auto"/>
        <w:right w:val="none" w:sz="0" w:space="0" w:color="auto"/>
      </w:divBdr>
    </w:div>
    <w:div w:id="1934774907">
      <w:bodyDiv w:val="1"/>
      <w:marLeft w:val="0"/>
      <w:marRight w:val="0"/>
      <w:marTop w:val="0"/>
      <w:marBottom w:val="0"/>
      <w:divBdr>
        <w:top w:val="none" w:sz="0" w:space="0" w:color="auto"/>
        <w:left w:val="none" w:sz="0" w:space="0" w:color="auto"/>
        <w:bottom w:val="none" w:sz="0" w:space="0" w:color="auto"/>
        <w:right w:val="none" w:sz="0" w:space="0" w:color="auto"/>
      </w:divBdr>
    </w:div>
    <w:div w:id="1953125916">
      <w:bodyDiv w:val="1"/>
      <w:marLeft w:val="0"/>
      <w:marRight w:val="0"/>
      <w:marTop w:val="0"/>
      <w:marBottom w:val="0"/>
      <w:divBdr>
        <w:top w:val="none" w:sz="0" w:space="0" w:color="auto"/>
        <w:left w:val="none" w:sz="0" w:space="0" w:color="auto"/>
        <w:bottom w:val="none" w:sz="0" w:space="0" w:color="auto"/>
        <w:right w:val="none" w:sz="0" w:space="0" w:color="auto"/>
      </w:divBdr>
    </w:div>
    <w:div w:id="1956253220">
      <w:bodyDiv w:val="1"/>
      <w:marLeft w:val="0"/>
      <w:marRight w:val="0"/>
      <w:marTop w:val="0"/>
      <w:marBottom w:val="0"/>
      <w:divBdr>
        <w:top w:val="none" w:sz="0" w:space="0" w:color="auto"/>
        <w:left w:val="none" w:sz="0" w:space="0" w:color="auto"/>
        <w:bottom w:val="none" w:sz="0" w:space="0" w:color="auto"/>
        <w:right w:val="none" w:sz="0" w:space="0" w:color="auto"/>
      </w:divBdr>
    </w:div>
    <w:div w:id="1972124678">
      <w:bodyDiv w:val="1"/>
      <w:marLeft w:val="0"/>
      <w:marRight w:val="0"/>
      <w:marTop w:val="0"/>
      <w:marBottom w:val="0"/>
      <w:divBdr>
        <w:top w:val="none" w:sz="0" w:space="0" w:color="auto"/>
        <w:left w:val="none" w:sz="0" w:space="0" w:color="auto"/>
        <w:bottom w:val="none" w:sz="0" w:space="0" w:color="auto"/>
        <w:right w:val="none" w:sz="0" w:space="0" w:color="auto"/>
      </w:divBdr>
    </w:div>
    <w:div w:id="1990594900">
      <w:bodyDiv w:val="1"/>
      <w:marLeft w:val="0"/>
      <w:marRight w:val="0"/>
      <w:marTop w:val="0"/>
      <w:marBottom w:val="0"/>
      <w:divBdr>
        <w:top w:val="none" w:sz="0" w:space="0" w:color="auto"/>
        <w:left w:val="none" w:sz="0" w:space="0" w:color="auto"/>
        <w:bottom w:val="none" w:sz="0" w:space="0" w:color="auto"/>
        <w:right w:val="none" w:sz="0" w:space="0" w:color="auto"/>
      </w:divBdr>
    </w:div>
    <w:div w:id="2052461464">
      <w:bodyDiv w:val="1"/>
      <w:marLeft w:val="0"/>
      <w:marRight w:val="0"/>
      <w:marTop w:val="0"/>
      <w:marBottom w:val="0"/>
      <w:divBdr>
        <w:top w:val="none" w:sz="0" w:space="0" w:color="auto"/>
        <w:left w:val="none" w:sz="0" w:space="0" w:color="auto"/>
        <w:bottom w:val="none" w:sz="0" w:space="0" w:color="auto"/>
        <w:right w:val="none" w:sz="0" w:space="0" w:color="auto"/>
      </w:divBdr>
    </w:div>
    <w:div w:id="2073041336">
      <w:bodyDiv w:val="1"/>
      <w:marLeft w:val="0"/>
      <w:marRight w:val="0"/>
      <w:marTop w:val="0"/>
      <w:marBottom w:val="0"/>
      <w:divBdr>
        <w:top w:val="none" w:sz="0" w:space="0" w:color="auto"/>
        <w:left w:val="none" w:sz="0" w:space="0" w:color="auto"/>
        <w:bottom w:val="none" w:sz="0" w:space="0" w:color="auto"/>
        <w:right w:val="none" w:sz="0" w:space="0" w:color="auto"/>
      </w:divBdr>
    </w:div>
    <w:div w:id="2075200400">
      <w:bodyDiv w:val="1"/>
      <w:marLeft w:val="0"/>
      <w:marRight w:val="0"/>
      <w:marTop w:val="0"/>
      <w:marBottom w:val="0"/>
      <w:divBdr>
        <w:top w:val="none" w:sz="0" w:space="0" w:color="auto"/>
        <w:left w:val="none" w:sz="0" w:space="0" w:color="auto"/>
        <w:bottom w:val="none" w:sz="0" w:space="0" w:color="auto"/>
        <w:right w:val="none" w:sz="0" w:space="0" w:color="auto"/>
      </w:divBdr>
    </w:div>
    <w:div w:id="2075227995">
      <w:bodyDiv w:val="1"/>
      <w:marLeft w:val="0"/>
      <w:marRight w:val="0"/>
      <w:marTop w:val="0"/>
      <w:marBottom w:val="0"/>
      <w:divBdr>
        <w:top w:val="none" w:sz="0" w:space="0" w:color="auto"/>
        <w:left w:val="none" w:sz="0" w:space="0" w:color="auto"/>
        <w:bottom w:val="none" w:sz="0" w:space="0" w:color="auto"/>
        <w:right w:val="none" w:sz="0" w:space="0" w:color="auto"/>
      </w:divBdr>
    </w:div>
    <w:div w:id="2075422341">
      <w:bodyDiv w:val="1"/>
      <w:marLeft w:val="0"/>
      <w:marRight w:val="0"/>
      <w:marTop w:val="0"/>
      <w:marBottom w:val="0"/>
      <w:divBdr>
        <w:top w:val="none" w:sz="0" w:space="0" w:color="auto"/>
        <w:left w:val="none" w:sz="0" w:space="0" w:color="auto"/>
        <w:bottom w:val="none" w:sz="0" w:space="0" w:color="auto"/>
        <w:right w:val="none" w:sz="0" w:space="0" w:color="auto"/>
      </w:divBdr>
    </w:div>
    <w:div w:id="2081368722">
      <w:bodyDiv w:val="1"/>
      <w:marLeft w:val="0"/>
      <w:marRight w:val="0"/>
      <w:marTop w:val="0"/>
      <w:marBottom w:val="0"/>
      <w:divBdr>
        <w:top w:val="none" w:sz="0" w:space="0" w:color="auto"/>
        <w:left w:val="none" w:sz="0" w:space="0" w:color="auto"/>
        <w:bottom w:val="none" w:sz="0" w:space="0" w:color="auto"/>
        <w:right w:val="none" w:sz="0" w:space="0" w:color="auto"/>
      </w:divBdr>
      <w:divsChild>
        <w:div w:id="1500194682">
          <w:marLeft w:val="0"/>
          <w:marRight w:val="0"/>
          <w:marTop w:val="0"/>
          <w:marBottom w:val="525"/>
          <w:divBdr>
            <w:top w:val="none" w:sz="0" w:space="0" w:color="auto"/>
            <w:left w:val="none" w:sz="0" w:space="0" w:color="auto"/>
            <w:bottom w:val="none" w:sz="0" w:space="0" w:color="auto"/>
            <w:right w:val="none" w:sz="0" w:space="0" w:color="auto"/>
          </w:divBdr>
          <w:divsChild>
            <w:div w:id="214660637">
              <w:marLeft w:val="0"/>
              <w:marRight w:val="0"/>
              <w:marTop w:val="0"/>
              <w:marBottom w:val="0"/>
              <w:divBdr>
                <w:top w:val="single" w:sz="6" w:space="15" w:color="E4E4E5"/>
                <w:left w:val="single" w:sz="6" w:space="15" w:color="E4E4E5"/>
                <w:bottom w:val="single" w:sz="6" w:space="15" w:color="E4E4E5"/>
                <w:right w:val="single" w:sz="6" w:space="15" w:color="E4E4E5"/>
              </w:divBdr>
              <w:divsChild>
                <w:div w:id="467823610">
                  <w:marLeft w:val="0"/>
                  <w:marRight w:val="0"/>
                  <w:marTop w:val="0"/>
                  <w:marBottom w:val="0"/>
                  <w:divBdr>
                    <w:top w:val="none" w:sz="0" w:space="0" w:color="auto"/>
                    <w:left w:val="none" w:sz="0" w:space="0" w:color="auto"/>
                    <w:bottom w:val="none" w:sz="0" w:space="0" w:color="auto"/>
                    <w:right w:val="none" w:sz="0" w:space="0" w:color="auto"/>
                  </w:divBdr>
                  <w:divsChild>
                    <w:div w:id="761687875">
                      <w:marLeft w:val="0"/>
                      <w:marRight w:val="0"/>
                      <w:marTop w:val="0"/>
                      <w:marBottom w:val="0"/>
                      <w:divBdr>
                        <w:top w:val="none" w:sz="0" w:space="0" w:color="auto"/>
                        <w:left w:val="none" w:sz="0" w:space="0" w:color="auto"/>
                        <w:bottom w:val="none" w:sz="0" w:space="0" w:color="auto"/>
                        <w:right w:val="none" w:sz="0" w:space="0" w:color="auto"/>
                      </w:divBdr>
                    </w:div>
                    <w:div w:id="240258284">
                      <w:marLeft w:val="0"/>
                      <w:marRight w:val="0"/>
                      <w:marTop w:val="0"/>
                      <w:marBottom w:val="0"/>
                      <w:divBdr>
                        <w:top w:val="none" w:sz="0" w:space="0" w:color="auto"/>
                        <w:left w:val="none" w:sz="0" w:space="0" w:color="auto"/>
                        <w:bottom w:val="none" w:sz="0" w:space="0" w:color="auto"/>
                        <w:right w:val="none" w:sz="0" w:space="0" w:color="auto"/>
                      </w:divBdr>
                    </w:div>
                    <w:div w:id="1301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525259">
      <w:bodyDiv w:val="1"/>
      <w:marLeft w:val="0"/>
      <w:marRight w:val="0"/>
      <w:marTop w:val="0"/>
      <w:marBottom w:val="0"/>
      <w:divBdr>
        <w:top w:val="none" w:sz="0" w:space="0" w:color="auto"/>
        <w:left w:val="none" w:sz="0" w:space="0" w:color="auto"/>
        <w:bottom w:val="none" w:sz="0" w:space="0" w:color="auto"/>
        <w:right w:val="none" w:sz="0" w:space="0" w:color="auto"/>
      </w:divBdr>
    </w:div>
    <w:div w:id="21046402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342">
          <w:marLeft w:val="0"/>
          <w:marRight w:val="0"/>
          <w:marTop w:val="0"/>
          <w:marBottom w:val="525"/>
          <w:divBdr>
            <w:top w:val="none" w:sz="0" w:space="0" w:color="auto"/>
            <w:left w:val="none" w:sz="0" w:space="0" w:color="auto"/>
            <w:bottom w:val="none" w:sz="0" w:space="0" w:color="auto"/>
            <w:right w:val="none" w:sz="0" w:space="0" w:color="auto"/>
          </w:divBdr>
          <w:divsChild>
            <w:div w:id="1979919605">
              <w:marLeft w:val="0"/>
              <w:marRight w:val="0"/>
              <w:marTop w:val="0"/>
              <w:marBottom w:val="0"/>
              <w:divBdr>
                <w:top w:val="single" w:sz="6" w:space="15" w:color="E4E4E5"/>
                <w:left w:val="single" w:sz="6" w:space="15" w:color="E4E4E5"/>
                <w:bottom w:val="single" w:sz="6" w:space="15" w:color="E4E4E5"/>
                <w:right w:val="single" w:sz="6" w:space="15" w:color="E4E4E5"/>
              </w:divBdr>
              <w:divsChild>
                <w:div w:id="294651163">
                  <w:marLeft w:val="0"/>
                  <w:marRight w:val="0"/>
                  <w:marTop w:val="0"/>
                  <w:marBottom w:val="0"/>
                  <w:divBdr>
                    <w:top w:val="none" w:sz="0" w:space="0" w:color="auto"/>
                    <w:left w:val="none" w:sz="0" w:space="0" w:color="auto"/>
                    <w:bottom w:val="none" w:sz="0" w:space="0" w:color="auto"/>
                    <w:right w:val="none" w:sz="0" w:space="0" w:color="auto"/>
                  </w:divBdr>
                  <w:divsChild>
                    <w:div w:id="8736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16663">
      <w:bodyDiv w:val="1"/>
      <w:marLeft w:val="0"/>
      <w:marRight w:val="0"/>
      <w:marTop w:val="0"/>
      <w:marBottom w:val="0"/>
      <w:divBdr>
        <w:top w:val="none" w:sz="0" w:space="0" w:color="auto"/>
        <w:left w:val="none" w:sz="0" w:space="0" w:color="auto"/>
        <w:bottom w:val="none" w:sz="0" w:space="0" w:color="auto"/>
        <w:right w:val="none" w:sz="0" w:space="0" w:color="auto"/>
      </w:divBdr>
    </w:div>
    <w:div w:id="2134011824">
      <w:bodyDiv w:val="1"/>
      <w:marLeft w:val="0"/>
      <w:marRight w:val="0"/>
      <w:marTop w:val="0"/>
      <w:marBottom w:val="0"/>
      <w:divBdr>
        <w:top w:val="none" w:sz="0" w:space="0" w:color="auto"/>
        <w:left w:val="none" w:sz="0" w:space="0" w:color="auto"/>
        <w:bottom w:val="none" w:sz="0" w:space="0" w:color="auto"/>
        <w:right w:val="none" w:sz="0" w:space="0" w:color="auto"/>
      </w:divBdr>
    </w:div>
    <w:div w:id="214250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jpeg"/><Relationship Id="rId18" Type="http://schemas.openxmlformats.org/officeDocument/2006/relationships/hyperlink" Target="mailto:sylvie.pipponiau@iedom-ieom.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IEOM-Paris-SEF-surveillance@iedom-ieom.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MSB@ieom.pf" TargetMode="External"/><Relationship Id="rId20" Type="http://schemas.openxmlformats.org/officeDocument/2006/relationships/hyperlink" Target="mailto:IEOM-Paris-SEF-surveillance@iedom-ieom.f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PMSB@ieom.nc"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olivier.basseto@iedom-ieom.f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EOM-Paris-SEF-surveillance@iedom-ieom.fr"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A01F1479618478D3D600611A83078" ma:contentTypeVersion="4" ma:contentTypeDescription="Crée un document." ma:contentTypeScope="" ma:versionID="7f0ec9ce87bfa3b14d6c32580925f318">
  <xsd:schema xmlns:xsd="http://www.w3.org/2001/XMLSchema" xmlns:xs="http://www.w3.org/2001/XMLSchema" xmlns:p="http://schemas.microsoft.com/office/2006/metadata/properties" xmlns:ns1="http://schemas.microsoft.com/sharepoint/v3" xmlns:ns2="$ListId:Livrables;" xmlns:ns3="4acf63bf-7887-43aa-b81e-5a1f4200f6e2" targetNamespace="http://schemas.microsoft.com/office/2006/metadata/properties" ma:root="true" ma:fieldsID="a77412ff7fc262926605a242320ff675" ns1:_="" ns2:_="" ns3:_="">
    <xsd:import namespace="http://schemas.microsoft.com/sharepoint/v3"/>
    <xsd:import namespace="$ListId:Livrables;"/>
    <xsd:import namespace="4acf63bf-7887-43aa-b81e-5a1f4200f6e2"/>
    <xsd:element name="properties">
      <xsd:complexType>
        <xsd:sequence>
          <xsd:element name="documentManagement">
            <xsd:complexType>
              <xsd:all>
                <xsd:element ref="ns2:Phases"/>
                <xsd:element ref="ns2:Lib_x00e9_l_x00e9_" minOccurs="0"/>
                <xsd:element ref="ns2:Date"/>
                <xsd:element ref="ns2:Statut" minOccurs="0"/>
                <xsd:element ref="ns2:Chambre_x0020_d_x0027_enregistrement" minOccurs="0"/>
                <xsd:element ref="ns2:Date_x0020_d_x0027_enregistrement" minOccurs="0"/>
                <xsd:element ref="ns2:Lien_x0020_enregistrement" minOccurs="0"/>
                <xsd:element ref="ns2:Lien_x0020_validation_x0020_2" minOccurs="0"/>
                <xsd:element ref="ns1:BDFComments" minOccurs="0"/>
                <xsd:element ref="ns3:_dlc_DocIdPersistId" minOccurs="0"/>
                <xsd:element ref="ns3:_dlc_DocId" minOccurs="0"/>
                <xsd:element ref="ns3: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DFComments" ma:index="10" nillable="true" ma:displayName="Commentaires" ma:internalName="BDF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Livrables;" elementFormDefault="qualified">
    <xsd:import namespace="http://schemas.microsoft.com/office/2006/documentManagement/types"/>
    <xsd:import namespace="http://schemas.microsoft.com/office/infopath/2007/PartnerControls"/>
    <xsd:element name="Phases" ma:index="2" ma:displayName="Phases" ma:format="Dropdown" ma:internalName="Phases">
      <xsd:simpleType>
        <xsd:restriction base="dms:Choice">
          <xsd:enumeration value="10_Lancement"/>
          <xsd:enumeration value="20_Étude préalable"/>
          <xsd:enumeration value="30_Conception d'ensemble"/>
          <xsd:enumeration value="40_Spécifications fonctionelles"/>
          <xsd:enumeration value="50_Recettes et support certification"/>
          <xsd:enumeration value="60_Préparation de la mise en oeuvre"/>
          <xsd:enumeration value="70_Mise en production"/>
          <xsd:enumeration value="80_Évaluation"/>
        </xsd:restriction>
      </xsd:simpleType>
    </xsd:element>
    <xsd:element name="Lib_x00e9_l_x00e9_" ma:index="3" nillable="true" ma:displayName="Libellé" ma:format="Dropdown" ma:internalName="Lib_x00e9_l_x00e9_">
      <xsd:simpleType>
        <xsd:restriction base="dms:Choice">
          <xsd:enumeration value="11_Note de lancement"/>
          <xsd:enumeration value="12_Business Case"/>
          <xsd:enumeration value="21_Plan Projet"/>
          <xsd:enumeration value="211_Plan_de_maintenance"/>
          <xsd:enumeration value="22_Cahier des charges"/>
          <xsd:enumeration value="23_Dossier de choix de solution"/>
          <xsd:enumeration value="233_Gestion des exigences"/>
          <xsd:enumeration value="235_Gestion de configuration"/>
          <xsd:enumeration value="24_Planning Initial"/>
          <xsd:enumeration value="25_Chiffrage"/>
          <xsd:enumeration value="26_Étude de risques"/>
          <xsd:enumeration value="31_Dossier de conception"/>
          <xsd:enumeration value="32_Stratégie de recette"/>
          <xsd:enumeration value="41_Spécifications"/>
          <xsd:enumeration value="42_Plan de tests"/>
          <xsd:enumeration value="43_Cahier de recette"/>
          <xsd:enumeration value="51_IQS RFU"/>
          <xsd:enumeration value="52_IQS RIG"/>
          <xsd:enumeration value="521_IQS CERTIF"/>
          <xsd:enumeration value="53_PV RFU"/>
          <xsd:enumeration value="54_PV RIT"/>
          <xsd:enumeration value="55_PV RIG"/>
          <xsd:enumeration value="57_PV CERTIF"/>
          <xsd:enumeration value="61_FOC"/>
          <xsd:enumeration value="62_Release Note"/>
          <xsd:enumeration value="63_Manuel Utilisateurs"/>
          <xsd:enumeration value="64_Fiche de risque"/>
          <xsd:enumeration value="65_PPSA"/>
          <xsd:enumeration value="66_PLS"/>
          <xsd:enumeration value="71_Engagement de service"/>
          <xsd:enumeration value="81_Bilan de projet"/>
        </xsd:restriction>
      </xsd:simpleType>
    </xsd:element>
    <xsd:element name="Date" ma:index="4" ma:displayName="Date Modification" ma:default="[today]" ma:format="DateOnly" ma:internalName="Date">
      <xsd:simpleType>
        <xsd:restriction base="dms:DateTime"/>
      </xsd:simpleType>
    </xsd:element>
    <xsd:element name="Statut" ma:index="5" nillable="true" ma:displayName="Statut" ma:default="En cours" ma:format="RadioButtons" ma:internalName="Statut">
      <xsd:simpleType>
        <xsd:restriction base="dms:Choice">
          <xsd:enumeration value="En cours"/>
          <xsd:enumeration value="Terminé"/>
          <xsd:enumeration value="Terminé hors Livrable"/>
          <xsd:enumeration value="Validé"/>
        </xsd:restriction>
      </xsd:simpleType>
    </xsd:element>
    <xsd:element name="Chambre_x0020_d_x0027_enregistrement" ma:index="6" nillable="true" ma:displayName="Validation" ma:description="Chambre d'enregistrement" ma:internalName="Chambre_x0020_d_x0027_enregistrement">
      <xsd:complexType>
        <xsd:complexContent>
          <xsd:extension base="dms:MultiChoice">
            <xsd:sequence>
              <xsd:element name="Value" maxOccurs="unbounded" minOccurs="0" nillable="true">
                <xsd:simpleType>
                  <xsd:restriction base="dms:Choice">
                    <xsd:enumeration value="CP"/>
                    <xsd:enumeration value="CTI"/>
                    <xsd:enumeration value="CSP"/>
                    <xsd:enumeration value="Mail"/>
                  </xsd:restriction>
                </xsd:simpleType>
              </xsd:element>
            </xsd:sequence>
          </xsd:extension>
        </xsd:complexContent>
      </xsd:complexType>
    </xsd:element>
    <xsd:element name="Date_x0020_d_x0027_enregistrement" ma:index="7" nillable="true" ma:displayName="Date Validation" ma:format="DateOnly" ma:internalName="Date_x0020_d_x0027_enregistrement">
      <xsd:simpleType>
        <xsd:restriction base="dms:DateTime"/>
      </xsd:simpleType>
    </xsd:element>
    <xsd:element name="Lien_x0020_enregistrement" ma:index="8" nillable="true" ma:displayName="Lien Validation" ma:format="Hyperlink" ma:internalName="Lien_x0020_enregistrement">
      <xsd:complexType>
        <xsd:complexContent>
          <xsd:extension base="dms:URL">
            <xsd:sequence>
              <xsd:element name="Url" type="dms:ValidUrl" minOccurs="0" nillable="true"/>
              <xsd:element name="Description" type="xsd:string" nillable="true"/>
            </xsd:sequence>
          </xsd:extension>
        </xsd:complexContent>
      </xsd:complexType>
    </xsd:element>
    <xsd:element name="Lien_x0020_validation_x0020_2" ma:index="9" nillable="true" ma:displayName="Lien validation 2" ma:format="Hyperlink" ma:internalName="Lien_x0020_validation_x0020_2">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cf63bf-7887-43aa-b81e-5a1f4200f6e2" elementFormDefault="qualified">
    <xsd:import namespace="http://schemas.microsoft.com/office/2006/documentManagement/types"/>
    <xsd:import namespace="http://schemas.microsoft.com/office/infopath/2007/PartnerControls"/>
    <xsd:element name="_dlc_DocIdPersistId" ma:index="11" nillable="true" ma:displayName="Conserver l’ID" ma:description="Conserver l’ID lors de l’ajout." ma:hidden="true" ma:internalName="_dlc_DocIdPersistId" ma:readOnly="true">
      <xsd:simpleType>
        <xsd:restriction base="dms:Boolean"/>
      </xsd:simpleType>
    </xsd:element>
    <xsd:element name="_dlc_DocId" ma:index="15" nillable="true" ma:displayName="Valeur d’ID de document" ma:description="Valeur de l’ID de document affecté à cet élément." ma:internalName="_dlc_DocId" ma:readOnly="true">
      <xsd:simpleType>
        <xsd:restriction base="dms:Text"/>
      </xsd:simpleType>
    </xsd:element>
    <xsd:element name="_dlc_DocIdUrl" ma:index="16"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cf63bf-7887-43aa-b81e-5a1f4200f6e2">Y577QEN2KPWZ-80-11576</_dlc_DocId>
    <_dlc_DocIdUrl xmlns="4acf63bf-7887-43aa-b81e-5a1f4200f6e2">
      <Url>https://d03/sites/wpact00/oscamps/_layouts/15/DocIdRedir.aspx?ID=Y577QEN2KPWZ-80-11576</Url>
      <Description>Y577QEN2KPWZ-80-11576</Description>
    </_dlc_DocIdUrl>
    <Date_x0020_d_x0027_enregistrement xmlns="$ListId:Livrables;" xsi:nil="true"/>
    <Phases xmlns="$ListId:Livrables;">40_Spécifications fonctionelles</Phases>
    <Lien_x0020_validation_x0020_2 xmlns="$ListId:Livrables;">
      <Url xsi:nil="true"/>
      <Description xsi:nil="true"/>
    </Lien_x0020_validation_x0020_2>
    <Lib_x00e9_l_x00e9_ xmlns="$ListId:Livrables;">41_Spécifications</Lib_x00e9_l_x00e9_>
    <Lien_x0020_enregistrement xmlns="$ListId:Livrables;">
      <Url xsi:nil="true"/>
      <Description xsi:nil="true"/>
    </Lien_x0020_enregistrement>
    <Date xmlns="$ListId:Livrables;">2020-08-13T22:00:00+00:00</Date>
    <Statut xmlns="$ListId:Livrables;">En cours</Statut>
    <Chambre_x0020_d_x0027_enregistrement xmlns="$ListId:Livrables;"/>
    <BDFComments xmlns="http://schemas.microsoft.com/sharepoint/v3">SFG TSPD - CESU
</BDFComment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1781A-E53B-44AB-84A3-528B5B544F1C}">
  <ds:schemaRefs>
    <ds:schemaRef ds:uri="http://schemas.microsoft.com/sharepoint/events"/>
  </ds:schemaRefs>
</ds:datastoreItem>
</file>

<file path=customXml/itemProps2.xml><?xml version="1.0" encoding="utf-8"?>
<ds:datastoreItem xmlns:ds="http://schemas.openxmlformats.org/officeDocument/2006/customXml" ds:itemID="{5D80E850-E6C2-4F1F-A89C-B6B7B35DEEE3}">
  <ds:schemaRefs>
    <ds:schemaRef ds:uri="http://schemas.microsoft.com/sharepoint/v3/contenttype/forms"/>
  </ds:schemaRefs>
</ds:datastoreItem>
</file>

<file path=customXml/itemProps3.xml><?xml version="1.0" encoding="utf-8"?>
<ds:datastoreItem xmlns:ds="http://schemas.openxmlformats.org/officeDocument/2006/customXml" ds:itemID="{E4491F25-A560-4E16-B9EF-F6169B9D1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ListId:Livrables;"/>
    <ds:schemaRef ds:uri="4acf63bf-7887-43aa-b81e-5a1f4200f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5C1764-3A99-4C96-B228-5AE65A19CC45}">
  <ds:schemaRefs>
    <ds:schemaRef ds:uri="http://schemas.openxmlformats.org/package/2006/metadata/core-properties"/>
    <ds:schemaRef ds:uri="http://schemas.microsoft.com/sharepoint/v3"/>
    <ds:schemaRef ds:uri="http://www.w3.org/XML/1998/namespace"/>
    <ds:schemaRef ds:uri="http://schemas.microsoft.com/office/infopath/2007/PartnerControls"/>
    <ds:schemaRef ds:uri="http://schemas.microsoft.com/office/2006/metadata/properties"/>
    <ds:schemaRef ds:uri="4acf63bf-7887-43aa-b81e-5a1f4200f6e2"/>
    <ds:schemaRef ds:uri="http://purl.org/dc/elements/1.1/"/>
    <ds:schemaRef ds:uri="http://schemas.microsoft.com/office/2006/documentManagement/types"/>
    <ds:schemaRef ds:uri="$ListId:Livrables;"/>
    <ds:schemaRef ds:uri="http://purl.org/dc/dcmitype/"/>
    <ds:schemaRef ds:uri="http://purl.org/dc/terms/"/>
  </ds:schemaRefs>
</ds:datastoreItem>
</file>

<file path=customXml/itemProps5.xml><?xml version="1.0" encoding="utf-8"?>
<ds:datastoreItem xmlns:ds="http://schemas.openxmlformats.org/officeDocument/2006/customXml" ds:itemID="{659B716A-5F6D-469E-8B31-6B5BFF70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23</Pages>
  <Words>10779</Words>
  <Characters>59285</Characters>
  <Application>Microsoft Office Word</Application>
  <DocSecurity>0</DocSecurity>
  <Lines>494</Lines>
  <Paragraphs>139</Paragraphs>
  <ScaleCrop>false</ScaleCrop>
  <HeadingPairs>
    <vt:vector size="2" baseType="variant">
      <vt:variant>
        <vt:lpstr>Titre</vt:lpstr>
      </vt:variant>
      <vt:variant>
        <vt:i4>1</vt:i4>
      </vt:variant>
    </vt:vector>
  </HeadingPairs>
  <TitlesOfParts>
    <vt:vector size="1" baseType="lpstr">
      <vt:lpstr>SFG-TSPD-CESU</vt:lpstr>
    </vt:vector>
  </TitlesOfParts>
  <Company>Banque de France</Company>
  <LinksUpToDate>false</LinksUpToDate>
  <CharactersWithSpaces>69925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SFG-TSPD-CESU</dc:title>
  <dc:creator>Marc HADJEJE</dc:creator>
  <cp:lastModifiedBy>BASSETO Olivier</cp:lastModifiedBy>
  <cp:revision>53</cp:revision>
  <cp:lastPrinted>2024-02-06T16:37:00Z</cp:lastPrinted>
  <dcterms:created xsi:type="dcterms:W3CDTF">2023-01-20T11:15:00Z</dcterms:created>
  <dcterms:modified xsi:type="dcterms:W3CDTF">2025-01-10T17:00:00Z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2ddc4bb6-2ca6-430a-b286-da952d1003ab</vt:lpwstr>
  </property>
  <property fmtid="{D5CDD505-2E9C-101B-9397-08002B2CF9AE}" pid="3" name="ContentTypeId">
    <vt:lpwstr>0x010100992A01F1479618478D3D600611A83078</vt:lpwstr>
  </property>
</Properties>
</file>